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CE99" w14:textId="77777777" w:rsidR="00E05499" w:rsidRPr="002B1964" w:rsidRDefault="00E05499" w:rsidP="00E054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964">
        <w:rPr>
          <w:rFonts w:ascii="Arial" w:hAnsi="Arial" w:cs="Arial"/>
          <w:b/>
          <w:bCs/>
          <w:sz w:val="32"/>
          <w:szCs w:val="32"/>
        </w:rPr>
        <w:t>ATO DE CONVOCAÇÃO</w:t>
      </w:r>
    </w:p>
    <w:p w14:paraId="7AA08A76" w14:textId="77777777" w:rsidR="00E05499" w:rsidRPr="002B1964" w:rsidRDefault="00E05499" w:rsidP="00E0549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Modalidade II: Valor Médio</w:t>
      </w:r>
      <w:r w:rsidRPr="002B1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2B1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Aquisição</w:t>
      </w:r>
    </w:p>
    <w:p w14:paraId="7BECCA9F" w14:textId="77777777" w:rsidR="00E05499" w:rsidRDefault="00E05499" w:rsidP="00E05499">
      <w:pPr>
        <w:rPr>
          <w:rFonts w:ascii="Arial" w:hAnsi="Arial" w:cs="Arial"/>
        </w:rPr>
      </w:pPr>
    </w:p>
    <w:p w14:paraId="46263C68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 presente coleta de preços segue as determinações do Regu</w:t>
      </w:r>
      <w:r>
        <w:rPr>
          <w:rFonts w:ascii="Arial" w:hAnsi="Arial" w:cs="Arial"/>
          <w:bCs/>
        </w:rPr>
        <w:t>lamento de Compras e Contratações</w:t>
      </w:r>
      <w:r w:rsidRPr="001A59FB">
        <w:rPr>
          <w:rFonts w:ascii="Arial" w:hAnsi="Arial" w:cs="Arial"/>
          <w:bCs/>
        </w:rPr>
        <w:t xml:space="preserve"> da Fundação do ABC e unidades </w:t>
      </w:r>
      <w:r>
        <w:rPr>
          <w:rFonts w:ascii="Arial" w:hAnsi="Arial" w:cs="Arial"/>
          <w:bCs/>
        </w:rPr>
        <w:t>gerenciadas</w:t>
      </w:r>
      <w:r w:rsidRPr="001A59FB">
        <w:rPr>
          <w:rFonts w:ascii="Arial" w:hAnsi="Arial" w:cs="Arial"/>
          <w:bCs/>
        </w:rPr>
        <w:t xml:space="preserve">, publicado em </w:t>
      </w:r>
      <w:r>
        <w:rPr>
          <w:rFonts w:ascii="Arial" w:hAnsi="Arial" w:cs="Arial"/>
          <w:bCs/>
        </w:rPr>
        <w:t>11</w:t>
      </w:r>
      <w:r w:rsidRPr="001A59FB">
        <w:rPr>
          <w:rFonts w:ascii="Arial" w:hAnsi="Arial" w:cs="Arial"/>
          <w:bCs/>
        </w:rPr>
        <w:t xml:space="preserve"> de </w:t>
      </w:r>
      <w:proofErr w:type="gramStart"/>
      <w:r>
        <w:rPr>
          <w:rFonts w:ascii="Arial" w:hAnsi="Arial" w:cs="Arial"/>
          <w:bCs/>
        </w:rPr>
        <w:t>Novembro</w:t>
      </w:r>
      <w:proofErr w:type="gramEnd"/>
      <w:r w:rsidRPr="001A59FB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22</w:t>
      </w:r>
      <w:r w:rsidRPr="001A59FB">
        <w:rPr>
          <w:rFonts w:ascii="Arial" w:hAnsi="Arial" w:cs="Arial"/>
          <w:bCs/>
        </w:rPr>
        <w:t xml:space="preserve"> no DOESP</w:t>
      </w:r>
      <w:r>
        <w:rPr>
          <w:rFonts w:ascii="Arial" w:hAnsi="Arial" w:cs="Arial"/>
          <w:bCs/>
        </w:rPr>
        <w:t>.</w:t>
      </w:r>
    </w:p>
    <w:p w14:paraId="43E84B5B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</w:p>
    <w:p w14:paraId="419FB946" w14:textId="77777777" w:rsidR="00E05499" w:rsidRPr="001A59FB" w:rsidRDefault="00E05499" w:rsidP="00E05499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 xml:space="preserve">PROCESSO Nº. </w:t>
      </w:r>
      <w:r>
        <w:rPr>
          <w:rFonts w:ascii="Arial" w:hAnsi="Arial" w:cs="Arial"/>
          <w:bCs/>
          <w:color w:val="FF0000"/>
        </w:rPr>
        <w:t>016</w:t>
      </w:r>
      <w:r w:rsidRPr="00A1293E">
        <w:rPr>
          <w:rFonts w:ascii="Arial" w:hAnsi="Arial" w:cs="Arial"/>
          <w:bCs/>
          <w:color w:val="FF0000"/>
        </w:rPr>
        <w:t>/202</w:t>
      </w:r>
      <w:r>
        <w:rPr>
          <w:rFonts w:ascii="Arial" w:hAnsi="Arial" w:cs="Arial"/>
          <w:bCs/>
          <w:color w:val="FF0000"/>
        </w:rPr>
        <w:t>3</w:t>
      </w:r>
    </w:p>
    <w:p w14:paraId="27939CC1" w14:textId="77777777" w:rsidR="00E05499" w:rsidRPr="001A59FB" w:rsidRDefault="00E05499" w:rsidP="00E05499">
      <w:pPr>
        <w:jc w:val="both"/>
        <w:rPr>
          <w:rFonts w:ascii="Arial" w:hAnsi="Arial" w:cs="Arial"/>
          <w:b/>
          <w:bCs/>
        </w:rPr>
      </w:pPr>
    </w:p>
    <w:p w14:paraId="64F16849" w14:textId="77777777" w:rsidR="00E05499" w:rsidRDefault="00E05499" w:rsidP="00E05499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>MODALIDADE:</w:t>
      </w:r>
      <w:r>
        <w:rPr>
          <w:rFonts w:ascii="Arial" w:hAnsi="Arial" w:cs="Arial"/>
          <w:bCs/>
        </w:rPr>
        <w:t xml:space="preserve"> Valor Médio (art. 14, alínea “II</w:t>
      </w:r>
      <w:r w:rsidRPr="001A59FB">
        <w:rPr>
          <w:rFonts w:ascii="Arial" w:hAnsi="Arial" w:cs="Arial"/>
          <w:bCs/>
        </w:rPr>
        <w:t>”, do Regulamento)</w:t>
      </w:r>
    </w:p>
    <w:p w14:paraId="1C3A9FFF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1018CD8F" w14:textId="77777777" w:rsidR="00E05499" w:rsidRPr="001A59FB" w:rsidRDefault="00E05499" w:rsidP="00E05499">
      <w:pPr>
        <w:jc w:val="both"/>
        <w:rPr>
          <w:rFonts w:ascii="Arial" w:hAnsi="Arial" w:cs="Arial"/>
          <w:bCs/>
          <w:color w:val="FFFFFF" w:themeColor="background1"/>
        </w:rPr>
      </w:pPr>
      <w:r w:rsidRPr="001A59FB">
        <w:rPr>
          <w:rFonts w:ascii="Arial" w:hAnsi="Arial" w:cs="Arial"/>
          <w:b/>
          <w:bCs/>
        </w:rPr>
        <w:t xml:space="preserve">OBJETO: </w:t>
      </w:r>
      <w:r>
        <w:rPr>
          <w:rFonts w:ascii="Arial" w:hAnsi="Arial" w:cs="Arial"/>
          <w:bCs/>
          <w:color w:val="FF0000"/>
        </w:rPr>
        <w:t xml:space="preserve">Aquisição de aparelho </w:t>
      </w:r>
      <w:proofErr w:type="spellStart"/>
      <w:r>
        <w:rPr>
          <w:rFonts w:ascii="Arial" w:hAnsi="Arial" w:cs="Arial"/>
          <w:bCs/>
          <w:color w:val="FF0000"/>
        </w:rPr>
        <w:t>Multi</w:t>
      </w:r>
      <w:proofErr w:type="spellEnd"/>
      <w:r>
        <w:rPr>
          <w:rFonts w:ascii="Arial" w:hAnsi="Arial" w:cs="Arial"/>
          <w:bCs/>
          <w:color w:val="FF0000"/>
        </w:rPr>
        <w:t xml:space="preserve"> Split e Cortinas de Ar.</w:t>
      </w:r>
    </w:p>
    <w:p w14:paraId="2292AB36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</w:p>
    <w:p w14:paraId="6FBEFC4C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TERMO DE REFERÊNCIA: </w:t>
      </w:r>
      <w:r w:rsidRPr="001A59FB">
        <w:rPr>
          <w:rFonts w:ascii="Arial" w:hAnsi="Arial" w:cs="Arial"/>
          <w:bCs/>
        </w:rPr>
        <w:t>O Termo de Referência</w:t>
      </w:r>
      <w:r>
        <w:rPr>
          <w:rFonts w:ascii="Arial" w:hAnsi="Arial" w:cs="Arial"/>
          <w:bCs/>
        </w:rPr>
        <w:t>,</w:t>
      </w:r>
      <w:r w:rsidRPr="001A59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</w:t>
      </w:r>
      <w:r w:rsidRPr="001A59FB">
        <w:rPr>
          <w:rFonts w:ascii="Arial" w:hAnsi="Arial" w:cs="Arial"/>
          <w:bCs/>
        </w:rPr>
        <w:t xml:space="preserve"> parte integrante deste Ato de Convocação e nele consta todas as informações técnicas aplicáveis, descrição pormenorizada do serviço a ser executado, bem como todas as demais informações necessárias a elaboração da proposta técnica-comercial.</w:t>
      </w:r>
    </w:p>
    <w:p w14:paraId="0CE1ECF8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</w:p>
    <w:p w14:paraId="524C9539" w14:textId="77777777" w:rsidR="00E05499" w:rsidRPr="00395946" w:rsidRDefault="00E05499" w:rsidP="00E05499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95946">
        <w:rPr>
          <w:rFonts w:ascii="Arial" w:hAnsi="Arial" w:cs="Arial"/>
          <w:b/>
          <w:bCs/>
          <w:sz w:val="24"/>
          <w:szCs w:val="24"/>
        </w:rPr>
        <w:t>FORMA DE SELEÇÃO:</w:t>
      </w:r>
      <w:r w:rsidRPr="00395946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 </w:t>
      </w:r>
      <w:r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Será considerado para o presente certame o critério de julgamento de</w:t>
      </w:r>
      <w:r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A1293E">
        <w:rPr>
          <w:rStyle w:val="Forte"/>
          <w:rFonts w:ascii="Arial" w:hAnsi="Arial" w:cs="Arial"/>
          <w:color w:val="FF0000"/>
          <w:sz w:val="24"/>
          <w:szCs w:val="24"/>
          <w:u w:val="single"/>
          <w:bdr w:val="none" w:sz="0" w:space="0" w:color="auto" w:frame="1"/>
        </w:rPr>
        <w:t xml:space="preserve">“Menor Preço </w:t>
      </w:r>
      <w:r>
        <w:rPr>
          <w:rStyle w:val="Forte"/>
          <w:rFonts w:ascii="Arial" w:hAnsi="Arial" w:cs="Arial"/>
          <w:color w:val="FF0000"/>
          <w:sz w:val="24"/>
          <w:szCs w:val="24"/>
          <w:u w:val="single"/>
          <w:bdr w:val="none" w:sz="0" w:space="0" w:color="auto" w:frame="1"/>
        </w:rPr>
        <w:t>Total</w:t>
      </w:r>
      <w:r w:rsidRPr="00A1293E">
        <w:rPr>
          <w:rStyle w:val="Forte"/>
          <w:rFonts w:ascii="Arial" w:hAnsi="Arial" w:cs="Arial"/>
          <w:color w:val="FF0000"/>
          <w:sz w:val="24"/>
          <w:szCs w:val="24"/>
          <w:u w:val="single"/>
          <w:bdr w:val="none" w:sz="0" w:space="0" w:color="auto" w:frame="1"/>
        </w:rPr>
        <w:t>”</w:t>
      </w:r>
      <w:r w:rsidRPr="00A1293E">
        <w:rPr>
          <w:rStyle w:val="Forte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  <w:r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</w:t>
      </w:r>
      <w:r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r</w:t>
      </w:r>
      <w:r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a determinar a ordem de classificação das empresas</w:t>
      </w:r>
      <w:r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participantes.</w:t>
      </w:r>
      <w:r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F058F36" w14:textId="77777777" w:rsidR="00E05499" w:rsidRPr="00395946" w:rsidRDefault="00E05499" w:rsidP="00E05499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353ECD8" w14:textId="77777777" w:rsidR="00E05499" w:rsidRPr="00395946" w:rsidRDefault="00E05499" w:rsidP="00E05499">
      <w:pPr>
        <w:jc w:val="both"/>
        <w:rPr>
          <w:rFonts w:ascii="Arial" w:hAnsi="Arial" w:cs="Arial"/>
        </w:rPr>
      </w:pP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Será considerada como vencedora do certame a empresa </w:t>
      </w:r>
      <w:proofErr w:type="gramStart"/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melhor</w:t>
      </w:r>
      <w:proofErr w:type="gramEnd"/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 classificada dentre as participantes que, concomitantemente, atender todas as exigências especific</w:t>
      </w:r>
      <w:r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adas no Termo de Referência e</w:t>
      </w: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 no Ato de Convocação</w:t>
      </w:r>
      <w:r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.</w:t>
      </w:r>
    </w:p>
    <w:p w14:paraId="75B21FB0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</w:p>
    <w:p w14:paraId="4D76A1A4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 xml:space="preserve">DAS PROPOSTAS: </w:t>
      </w:r>
    </w:p>
    <w:p w14:paraId="5B23F069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</w:p>
    <w:p w14:paraId="0CCAD233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</w:t>
      </w:r>
      <w:r w:rsidRPr="001A59FB">
        <w:rPr>
          <w:rFonts w:ascii="Arial" w:hAnsi="Arial" w:cs="Arial"/>
          <w:bCs/>
        </w:rPr>
        <w:t xml:space="preserve"> proposta</w:t>
      </w:r>
      <w:r>
        <w:rPr>
          <w:rFonts w:ascii="Arial" w:hAnsi="Arial" w:cs="Arial"/>
          <w:bCs/>
        </w:rPr>
        <w:t>s</w:t>
      </w:r>
      <w:r w:rsidRPr="001A59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das empresas interessadas deverão ser formalizadas</w:t>
      </w:r>
      <w:r w:rsidRPr="001A59FB">
        <w:rPr>
          <w:rFonts w:ascii="Arial" w:hAnsi="Arial" w:cs="Arial"/>
          <w:bCs/>
        </w:rPr>
        <w:t xml:space="preserve"> por escrito, em papel</w:t>
      </w:r>
      <w:r>
        <w:rPr>
          <w:rFonts w:ascii="Arial" w:hAnsi="Arial" w:cs="Arial"/>
          <w:bCs/>
        </w:rPr>
        <w:t xml:space="preserve"> timbrado, estando devidamente assinadas pelo proponente.</w:t>
      </w:r>
    </w:p>
    <w:p w14:paraId="5BEEB123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6F0E77E9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entrega da proposta deverá ser realizada em envelope fechado e lacrado, rubricado no fecho, contendo em sua identificação: o nome da empresa, número do processo, objeto, nome do proponente, telefone e e-mail. F</w:t>
      </w:r>
      <w:r w:rsidRPr="001A59FB">
        <w:rPr>
          <w:rFonts w:ascii="Arial" w:hAnsi="Arial" w:cs="Arial"/>
          <w:bCs/>
        </w:rPr>
        <w:t>icando certo que o Hospital não será responsabilizado e/ou onerado por eventual ausência de indicação, erro de digitação por parte da empresa e problemas em seu servidor.</w:t>
      </w:r>
    </w:p>
    <w:p w14:paraId="191B0A93" w14:textId="77777777" w:rsidR="00E05499" w:rsidRDefault="00E05499" w:rsidP="00E05499">
      <w:pPr>
        <w:jc w:val="both"/>
        <w:rPr>
          <w:rFonts w:ascii="Arial" w:hAnsi="Arial" w:cs="Arial"/>
          <w:color w:val="222222"/>
          <w:shd w:val="clear" w:color="auto" w:fill="F9F9F9"/>
        </w:rPr>
      </w:pPr>
    </w:p>
    <w:p w14:paraId="3D7176A7" w14:textId="77777777" w:rsidR="00E05499" w:rsidRDefault="00E05499" w:rsidP="00E05499">
      <w:pPr>
        <w:jc w:val="both"/>
        <w:rPr>
          <w:rFonts w:ascii="Arial" w:hAnsi="Arial" w:cs="Arial"/>
          <w:b/>
          <w:bCs/>
          <w:color w:val="FF0000"/>
        </w:rPr>
      </w:pPr>
      <w:r w:rsidRPr="00D73AD2">
        <w:rPr>
          <w:rFonts w:ascii="Arial" w:hAnsi="Arial" w:cs="Arial"/>
          <w:b/>
          <w:bCs/>
          <w:u w:val="single"/>
        </w:rPr>
        <w:t>Prazo para entrega:</w:t>
      </w:r>
      <w:r w:rsidRPr="00D73A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até o dia 30/01</w:t>
      </w:r>
      <w:r w:rsidRPr="00A1293E">
        <w:rPr>
          <w:rFonts w:ascii="Arial" w:hAnsi="Arial" w:cs="Arial"/>
          <w:b/>
          <w:bCs/>
          <w:color w:val="FF0000"/>
        </w:rPr>
        <w:t>/2023, às 16h30.</w:t>
      </w:r>
    </w:p>
    <w:p w14:paraId="44E1C8EC" w14:textId="77777777" w:rsidR="00E05499" w:rsidRDefault="00E05499" w:rsidP="00E05499">
      <w:pPr>
        <w:jc w:val="both"/>
        <w:rPr>
          <w:rFonts w:ascii="Arial" w:hAnsi="Arial" w:cs="Arial"/>
          <w:b/>
          <w:bCs/>
          <w:color w:val="002060"/>
          <w:u w:val="single"/>
        </w:rPr>
      </w:pPr>
    </w:p>
    <w:p w14:paraId="24E5E0ED" w14:textId="77777777" w:rsidR="00E05499" w:rsidRPr="00BE569D" w:rsidRDefault="00E05499" w:rsidP="00E05499">
      <w:pPr>
        <w:jc w:val="both"/>
        <w:rPr>
          <w:rFonts w:ascii="Arial" w:hAnsi="Arial" w:cs="Arial"/>
          <w:b/>
          <w:bCs/>
          <w:color w:val="002060"/>
          <w:u w:val="single"/>
        </w:rPr>
      </w:pPr>
      <w:r w:rsidRPr="00D73AD2">
        <w:rPr>
          <w:rFonts w:ascii="Arial" w:hAnsi="Arial" w:cs="Arial"/>
          <w:b/>
          <w:bCs/>
          <w:u w:val="single"/>
        </w:rPr>
        <w:t>Endereço para entrega:</w:t>
      </w:r>
      <w:r w:rsidRPr="00D73AD2">
        <w:rPr>
          <w:rFonts w:ascii="Arial" w:hAnsi="Arial" w:cs="Arial"/>
          <w:b/>
          <w:bCs/>
        </w:rPr>
        <w:t xml:space="preserve"> </w:t>
      </w:r>
      <w:r w:rsidRPr="00BE569D">
        <w:rPr>
          <w:rFonts w:ascii="Arial" w:hAnsi="Arial" w:cs="Arial"/>
          <w:b/>
          <w:bCs/>
          <w:color w:val="002060"/>
        </w:rPr>
        <w:t xml:space="preserve">Rua Dr. Henrique </w:t>
      </w:r>
      <w:proofErr w:type="spellStart"/>
      <w:r w:rsidRPr="00BE569D">
        <w:rPr>
          <w:rFonts w:ascii="Arial" w:hAnsi="Arial" w:cs="Arial"/>
          <w:b/>
          <w:bCs/>
          <w:color w:val="002060"/>
        </w:rPr>
        <w:t>Calderazzo</w:t>
      </w:r>
      <w:proofErr w:type="spellEnd"/>
      <w:r w:rsidRPr="00BE569D">
        <w:rPr>
          <w:rFonts w:ascii="Arial" w:hAnsi="Arial" w:cs="Arial"/>
          <w:b/>
          <w:bCs/>
          <w:color w:val="002060"/>
        </w:rPr>
        <w:t xml:space="preserve">, 321, Bairro Paraíso, Santo André/SP, ao setor de Compras e Contratos, </w:t>
      </w:r>
      <w:r w:rsidRPr="00BE569D">
        <w:rPr>
          <w:rFonts w:ascii="Arial" w:hAnsi="Arial" w:cs="Arial"/>
          <w:b/>
          <w:color w:val="002060"/>
          <w:shd w:val="clear" w:color="auto" w:fill="F9F9F9"/>
        </w:rPr>
        <w:t>4º andar, das 08h às 16h30.</w:t>
      </w:r>
    </w:p>
    <w:p w14:paraId="21F299C0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3011052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DOCUMENTAÇÕES</w:t>
      </w:r>
      <w:r w:rsidRPr="001A59FB">
        <w:rPr>
          <w:rFonts w:ascii="Arial" w:hAnsi="Arial" w:cs="Arial"/>
          <w:b/>
          <w:bCs/>
        </w:rPr>
        <w:t>:</w:t>
      </w:r>
    </w:p>
    <w:p w14:paraId="0ADC1520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</w:p>
    <w:p w14:paraId="38231F81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</w:t>
      </w:r>
      <w:r>
        <w:rPr>
          <w:rFonts w:ascii="Arial" w:hAnsi="Arial" w:cs="Arial"/>
          <w:bCs/>
        </w:rPr>
        <w:t>,</w:t>
      </w:r>
      <w:r w:rsidRPr="001A59FB">
        <w:rPr>
          <w:rFonts w:ascii="Arial" w:hAnsi="Arial" w:cs="Arial"/>
          <w:bCs/>
        </w:rPr>
        <w:t xml:space="preserve"> através de </w:t>
      </w:r>
      <w:r>
        <w:rPr>
          <w:rFonts w:ascii="Arial" w:hAnsi="Arial" w:cs="Arial"/>
          <w:bCs/>
        </w:rPr>
        <w:t xml:space="preserve">publicação no site: </w:t>
      </w:r>
      <w:hyperlink r:id="rId7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>, a</w:t>
      </w:r>
      <w:r w:rsidRPr="00D80A51">
        <w:rPr>
          <w:rFonts w:ascii="Arial" w:hAnsi="Arial" w:cs="Arial"/>
          <w:bCs/>
        </w:rPr>
        <w:t xml:space="preserve"> empresa 1ª classificada no certame</w:t>
      </w:r>
      <w:r>
        <w:rPr>
          <w:rFonts w:ascii="Arial" w:hAnsi="Arial" w:cs="Arial"/>
          <w:bCs/>
        </w:rPr>
        <w:t xml:space="preserve">, para entrega dos </w:t>
      </w:r>
      <w:r w:rsidRPr="001A59FB">
        <w:rPr>
          <w:rFonts w:ascii="Arial" w:hAnsi="Arial" w:cs="Arial"/>
          <w:bCs/>
        </w:rPr>
        <w:t xml:space="preserve">documentos </w:t>
      </w:r>
      <w:r>
        <w:rPr>
          <w:rFonts w:ascii="Arial" w:hAnsi="Arial" w:cs="Arial"/>
          <w:bCs/>
        </w:rPr>
        <w:t>abaixo relacionados</w:t>
      </w:r>
      <w:r w:rsidRPr="001A59F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sendo o prazo para</w:t>
      </w:r>
      <w:r w:rsidRPr="00D80A51">
        <w:rPr>
          <w:rFonts w:ascii="Arial" w:hAnsi="Arial" w:cs="Arial"/>
          <w:bCs/>
        </w:rPr>
        <w:t xml:space="preserve"> entrega da documentação de 0</w:t>
      </w:r>
      <w:r>
        <w:rPr>
          <w:rFonts w:ascii="Arial" w:hAnsi="Arial" w:cs="Arial"/>
          <w:bCs/>
        </w:rPr>
        <w:t>2</w:t>
      </w:r>
      <w:r w:rsidRPr="00D80A51">
        <w:rPr>
          <w:rFonts w:ascii="Arial" w:hAnsi="Arial" w:cs="Arial"/>
          <w:bCs/>
        </w:rPr>
        <w:t xml:space="preserve"> (dois) dias úteis, contados da data da solicitação. </w:t>
      </w:r>
    </w:p>
    <w:p w14:paraId="367C5827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B4EA429" w14:textId="77777777" w:rsidR="00E05499" w:rsidRDefault="00E05499" w:rsidP="00E05499">
      <w:pPr>
        <w:pStyle w:val="PargrafodaLista"/>
        <w:numPr>
          <w:ilvl w:val="0"/>
          <w:numId w:val="13"/>
        </w:numPr>
        <w:tabs>
          <w:tab w:val="left" w:pos="2410"/>
        </w:tabs>
        <w:jc w:val="both"/>
        <w:rPr>
          <w:rFonts w:ascii="Arial" w:hAnsi="Arial" w:cs="Arial"/>
          <w:bCs/>
        </w:rPr>
      </w:pPr>
      <w:r w:rsidRPr="00682203">
        <w:rPr>
          <w:rFonts w:ascii="Arial" w:hAnsi="Arial" w:cs="Arial"/>
          <w:bCs/>
        </w:rPr>
        <w:t>Registro comercial, no caso de empresa individual;</w:t>
      </w:r>
    </w:p>
    <w:p w14:paraId="72FCAA7C" w14:textId="77777777" w:rsidR="00E05499" w:rsidRDefault="00E05499" w:rsidP="00E05499">
      <w:pPr>
        <w:pStyle w:val="PargrafodaLista"/>
        <w:numPr>
          <w:ilvl w:val="0"/>
          <w:numId w:val="13"/>
        </w:numPr>
        <w:tabs>
          <w:tab w:val="left" w:pos="2410"/>
        </w:tabs>
        <w:jc w:val="both"/>
        <w:rPr>
          <w:rFonts w:ascii="Arial" w:hAnsi="Arial" w:cs="Arial"/>
          <w:bCs/>
        </w:rPr>
      </w:pPr>
      <w:r w:rsidRPr="00682203">
        <w:rPr>
          <w:rFonts w:ascii="Arial" w:hAnsi="Arial" w:cs="Arial"/>
          <w:bCs/>
        </w:rPr>
        <w:lastRenderedPageBreak/>
        <w:t>Ato constitutivo, estatuto ou contrato social em vigor e última alteração devidamente registrados;</w:t>
      </w:r>
    </w:p>
    <w:p w14:paraId="62253EF8" w14:textId="77777777" w:rsidR="00E05499" w:rsidRDefault="00E05499" w:rsidP="00E05499">
      <w:pPr>
        <w:pStyle w:val="PargrafodaLista"/>
        <w:numPr>
          <w:ilvl w:val="0"/>
          <w:numId w:val="13"/>
        </w:numPr>
        <w:tabs>
          <w:tab w:val="left" w:pos="2410"/>
        </w:tabs>
        <w:jc w:val="both"/>
        <w:rPr>
          <w:rFonts w:ascii="Arial" w:hAnsi="Arial" w:cs="Arial"/>
          <w:bCs/>
        </w:rPr>
      </w:pPr>
      <w:r w:rsidRPr="00682203">
        <w:rPr>
          <w:rFonts w:ascii="Arial" w:hAnsi="Arial" w:cs="Arial"/>
          <w:bCs/>
        </w:rPr>
        <w:t>Prova de regularidade do FGTS (CRF);</w:t>
      </w:r>
    </w:p>
    <w:p w14:paraId="49EDADE6" w14:textId="77777777" w:rsidR="00E05499" w:rsidRDefault="00E05499" w:rsidP="00E05499">
      <w:pPr>
        <w:pStyle w:val="PargrafodaLista"/>
        <w:numPr>
          <w:ilvl w:val="0"/>
          <w:numId w:val="13"/>
        </w:numPr>
        <w:tabs>
          <w:tab w:val="left" w:pos="2410"/>
        </w:tabs>
        <w:jc w:val="both"/>
        <w:rPr>
          <w:rFonts w:ascii="Arial" w:hAnsi="Arial" w:cs="Arial"/>
          <w:bCs/>
        </w:rPr>
      </w:pPr>
      <w:r w:rsidRPr="00682203">
        <w:rPr>
          <w:rFonts w:ascii="Arial" w:hAnsi="Arial" w:cs="Arial"/>
          <w:bCs/>
        </w:rPr>
        <w:t>Prova de regularidade com as Fazendas Públicas:</w:t>
      </w:r>
    </w:p>
    <w:p w14:paraId="3E35296C" w14:textId="77777777" w:rsidR="00E05499" w:rsidRPr="00682203" w:rsidRDefault="00E05499" w:rsidP="00E05499">
      <w:pPr>
        <w:pStyle w:val="PargrafodaLista"/>
        <w:tabs>
          <w:tab w:val="left" w:pos="2410"/>
        </w:tabs>
        <w:ind w:left="1146"/>
        <w:jc w:val="both"/>
        <w:rPr>
          <w:rFonts w:ascii="Arial" w:hAnsi="Arial" w:cs="Arial"/>
          <w:bCs/>
        </w:rPr>
      </w:pPr>
    </w:p>
    <w:p w14:paraId="1882D80C" w14:textId="77777777" w:rsidR="00E05499" w:rsidRPr="008258BE" w:rsidRDefault="00E05499" w:rsidP="00E05499">
      <w:pPr>
        <w:numPr>
          <w:ilvl w:val="0"/>
          <w:numId w:val="14"/>
        </w:numPr>
        <w:tabs>
          <w:tab w:val="left" w:pos="993"/>
          <w:tab w:val="left" w:pos="1134"/>
          <w:tab w:val="left" w:pos="2410"/>
          <w:tab w:val="left" w:pos="2835"/>
        </w:tabs>
        <w:ind w:left="2127" w:hanging="851"/>
        <w:contextualSpacing/>
        <w:jc w:val="both"/>
        <w:rPr>
          <w:rFonts w:ascii="Arial" w:hAnsi="Arial" w:cs="Arial"/>
          <w:bCs/>
        </w:rPr>
      </w:pPr>
      <w:r w:rsidRPr="008258BE">
        <w:rPr>
          <w:rFonts w:ascii="Arial" w:hAnsi="Arial" w:cs="Arial"/>
          <w:bCs/>
          <w:u w:val="single"/>
        </w:rPr>
        <w:t>Federal:</w:t>
      </w:r>
      <w:r w:rsidRPr="008258BE">
        <w:rPr>
          <w:rFonts w:ascii="Arial" w:hAnsi="Arial" w:cs="Arial"/>
          <w:bCs/>
        </w:rPr>
        <w:t xml:space="preserve"> (Certidão conjunta fornecida pela Secretaria da Receita Federal do Brasil e pela Procuradoria Geral da Fazenda Nacional, respectivamente, em conjunto, nos termos da IN/RFB nº 734/07 e do Decreto nº 6.106/2007), </w:t>
      </w:r>
    </w:p>
    <w:p w14:paraId="6EA70698" w14:textId="77777777" w:rsidR="00E05499" w:rsidRPr="008258BE" w:rsidRDefault="00E05499" w:rsidP="00E05499">
      <w:pPr>
        <w:numPr>
          <w:ilvl w:val="0"/>
          <w:numId w:val="14"/>
        </w:numPr>
        <w:tabs>
          <w:tab w:val="left" w:pos="993"/>
          <w:tab w:val="left" w:pos="1134"/>
          <w:tab w:val="left" w:pos="2410"/>
          <w:tab w:val="left" w:pos="2835"/>
        </w:tabs>
        <w:ind w:left="2127" w:hanging="851"/>
        <w:contextualSpacing/>
        <w:jc w:val="both"/>
        <w:rPr>
          <w:rFonts w:ascii="Arial" w:hAnsi="Arial" w:cs="Arial"/>
          <w:bCs/>
        </w:rPr>
      </w:pPr>
      <w:r w:rsidRPr="008258BE">
        <w:rPr>
          <w:rFonts w:ascii="Arial" w:hAnsi="Arial" w:cs="Arial"/>
          <w:bCs/>
          <w:u w:val="single"/>
        </w:rPr>
        <w:t>Estadua</w:t>
      </w:r>
      <w:r w:rsidRPr="008258BE">
        <w:rPr>
          <w:rFonts w:ascii="Arial" w:hAnsi="Arial" w:cs="Arial"/>
          <w:bCs/>
        </w:rPr>
        <w:t xml:space="preserve">l: admitida a certidão positiva com efeito de negativa ou outra equivalente na forma da lei; </w:t>
      </w:r>
    </w:p>
    <w:p w14:paraId="18B4E4F1" w14:textId="77777777" w:rsidR="00E05499" w:rsidRPr="00682203" w:rsidRDefault="00E05499" w:rsidP="00E05499">
      <w:pPr>
        <w:numPr>
          <w:ilvl w:val="0"/>
          <w:numId w:val="14"/>
        </w:numPr>
        <w:tabs>
          <w:tab w:val="left" w:pos="993"/>
          <w:tab w:val="left" w:pos="2410"/>
          <w:tab w:val="left" w:pos="2835"/>
        </w:tabs>
        <w:ind w:left="2127" w:hanging="851"/>
        <w:contextualSpacing/>
        <w:jc w:val="both"/>
        <w:rPr>
          <w:rFonts w:ascii="Arial" w:hAnsi="Arial" w:cs="Arial"/>
          <w:bCs/>
        </w:rPr>
      </w:pPr>
      <w:r w:rsidRPr="008258BE">
        <w:rPr>
          <w:rFonts w:ascii="Arial" w:hAnsi="Arial" w:cs="Arial"/>
          <w:bCs/>
          <w:color w:val="000000" w:themeColor="text1"/>
          <w:u w:val="single"/>
        </w:rPr>
        <w:t xml:space="preserve">Municipal: </w:t>
      </w:r>
      <w:r w:rsidRPr="008258BE">
        <w:rPr>
          <w:rFonts w:ascii="Arial" w:hAnsi="Arial" w:cs="Arial"/>
          <w:bCs/>
          <w:color w:val="000000" w:themeColor="text1"/>
        </w:rPr>
        <w:t>certidão de tributos mobiliários e imobiliários, conforme sede da participante.</w:t>
      </w:r>
    </w:p>
    <w:p w14:paraId="6EBF9E6E" w14:textId="77777777" w:rsidR="00E05499" w:rsidRPr="002A2B0C" w:rsidRDefault="00E05499" w:rsidP="00E05499">
      <w:pPr>
        <w:tabs>
          <w:tab w:val="left" w:pos="993"/>
          <w:tab w:val="left" w:pos="2410"/>
          <w:tab w:val="left" w:pos="2835"/>
        </w:tabs>
        <w:ind w:left="2127"/>
        <w:contextualSpacing/>
        <w:jc w:val="both"/>
        <w:rPr>
          <w:rFonts w:ascii="Arial" w:hAnsi="Arial" w:cs="Arial"/>
          <w:bCs/>
        </w:rPr>
      </w:pPr>
    </w:p>
    <w:p w14:paraId="482DDA98" w14:textId="77777777" w:rsidR="00E05499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</w:rPr>
      </w:pPr>
      <w:r w:rsidRPr="008258BE">
        <w:rPr>
          <w:rFonts w:ascii="Arial" w:hAnsi="Arial" w:cs="Arial"/>
          <w:bCs/>
        </w:rPr>
        <w:t>Prova de inscrição no Cadastro de Contribuintes estadual e/ou municipal</w:t>
      </w:r>
      <w:r>
        <w:rPr>
          <w:rFonts w:ascii="Arial" w:hAnsi="Arial" w:cs="Arial"/>
          <w:bCs/>
        </w:rPr>
        <w:t xml:space="preserve">, se houve, </w:t>
      </w:r>
      <w:r w:rsidRPr="008258BE">
        <w:rPr>
          <w:rFonts w:ascii="Arial" w:hAnsi="Arial" w:cs="Arial"/>
          <w:bCs/>
        </w:rPr>
        <w:t>relativo à sede da participante, pertinente ao seu ramo de atividade e compatível com o objeto contratado;</w:t>
      </w:r>
    </w:p>
    <w:p w14:paraId="2227E425" w14:textId="77777777" w:rsidR="00E05499" w:rsidRPr="008258BE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</w:rPr>
      </w:pPr>
      <w:r w:rsidRPr="008258BE">
        <w:rPr>
          <w:rFonts w:ascii="Arial" w:hAnsi="Arial" w:cs="Arial"/>
          <w:bCs/>
        </w:rPr>
        <w:t>Comprovante de inscrição da empresa no Cadastro Nacional de Pessoa Jurídica (CNPJ);</w:t>
      </w:r>
    </w:p>
    <w:p w14:paraId="6F681AA2" w14:textId="77777777" w:rsidR="00E05499" w:rsidRPr="008258BE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Certidão Negativa de Débitos T</w:t>
      </w:r>
      <w:r w:rsidRPr="008258BE">
        <w:rPr>
          <w:rFonts w:ascii="Arial" w:hAnsi="Arial" w:cs="Arial"/>
          <w:bCs/>
        </w:rPr>
        <w:t>rabalhistas (CNDT), comprovando a inexistência de débitos inadimplidos perante a Justiça do Trabalho, nos termos da Lei Federal nº 12.440/11</w:t>
      </w:r>
      <w:r>
        <w:rPr>
          <w:rFonts w:ascii="Arial" w:hAnsi="Arial" w:cs="Arial"/>
          <w:bCs/>
        </w:rPr>
        <w:t>;</w:t>
      </w:r>
    </w:p>
    <w:p w14:paraId="07D2A5BA" w14:textId="77777777" w:rsidR="00E05499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Certidão Negativa de falência ou recuperação judicial, expedida pelo distribuidor da sede da pessoa jurídica, emitida no período de até 30 (trinta) dias anteriores à data fixada para entrega das documentações;</w:t>
      </w:r>
    </w:p>
    <w:p w14:paraId="372C8133" w14:textId="77777777" w:rsidR="00E05499" w:rsidRPr="008B6641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Balanço Patrimonial e demonstrações contábeis do último exercício social, apresentados na forma da lei, vedada a sua substituição por balancetes ou balanços provisórios;</w:t>
      </w:r>
    </w:p>
    <w:p w14:paraId="416556F2" w14:textId="77777777" w:rsidR="00E05499" w:rsidRPr="008258BE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</w:rPr>
      </w:pPr>
      <w:r w:rsidRPr="008258BE">
        <w:rPr>
          <w:rFonts w:ascii="Arial" w:hAnsi="Arial" w:cs="Arial"/>
          <w:bCs/>
        </w:rPr>
        <w:t xml:space="preserve">Toda documentação específica, pertinente ao </w:t>
      </w:r>
      <w:r>
        <w:rPr>
          <w:rFonts w:ascii="Arial" w:hAnsi="Arial" w:cs="Arial"/>
          <w:bCs/>
        </w:rPr>
        <w:t>ramo de atividade e compatível ao objeto contratado</w:t>
      </w:r>
      <w:r w:rsidRPr="008258BE">
        <w:rPr>
          <w:rFonts w:ascii="Arial" w:hAnsi="Arial" w:cs="Arial"/>
          <w:bCs/>
        </w:rPr>
        <w:t>;</w:t>
      </w:r>
    </w:p>
    <w:p w14:paraId="67C55E73" w14:textId="77777777" w:rsidR="00E05499" w:rsidRPr="00504F81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  <w:highlight w:val="yellow"/>
        </w:rPr>
      </w:pPr>
      <w:r w:rsidRPr="00504F81">
        <w:rPr>
          <w:rFonts w:ascii="Arial" w:hAnsi="Arial" w:cs="Arial"/>
          <w:bCs/>
          <w:highlight w:val="yellow"/>
        </w:rPr>
        <w:t xml:space="preserve">Prova do Registro nos órgãos competentes, </w:t>
      </w:r>
      <w:r w:rsidRPr="005F1529">
        <w:rPr>
          <w:rFonts w:ascii="Arial" w:hAnsi="Arial" w:cs="Arial"/>
          <w:b/>
          <w:bCs/>
          <w:highlight w:val="yellow"/>
        </w:rPr>
        <w:t>quando couber.</w:t>
      </w:r>
    </w:p>
    <w:p w14:paraId="19C54822" w14:textId="77777777" w:rsidR="00E05499" w:rsidRPr="00504F81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  <w:highlight w:val="yellow"/>
        </w:rPr>
      </w:pPr>
      <w:r w:rsidRPr="00504F81">
        <w:rPr>
          <w:rFonts w:ascii="Arial" w:hAnsi="Arial" w:cs="Arial"/>
          <w:bCs/>
          <w:highlight w:val="yellow"/>
        </w:rPr>
        <w:t xml:space="preserve">Atestado de capacidade técnica, emitido por órgãos públicos ou privados, pertinente ao ramo de atividade da interessada, registrado no órgão competente, </w:t>
      </w:r>
      <w:r w:rsidRPr="005F1529">
        <w:rPr>
          <w:rFonts w:ascii="Arial" w:hAnsi="Arial" w:cs="Arial"/>
          <w:b/>
          <w:bCs/>
          <w:highlight w:val="yellow"/>
        </w:rPr>
        <w:t>quando necessário;</w:t>
      </w:r>
    </w:p>
    <w:p w14:paraId="406CF879" w14:textId="77777777" w:rsidR="00E05499" w:rsidRPr="00504F81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Cs/>
          <w:highlight w:val="yellow"/>
        </w:rPr>
      </w:pPr>
      <w:r w:rsidRPr="00504F81">
        <w:rPr>
          <w:rFonts w:ascii="Arial" w:hAnsi="Arial" w:cs="Arial"/>
          <w:bCs/>
          <w:highlight w:val="yellow"/>
        </w:rPr>
        <w:t xml:space="preserve">Certificação de órgão competente, </w:t>
      </w:r>
      <w:r w:rsidRPr="005F1529">
        <w:rPr>
          <w:rFonts w:ascii="Arial" w:hAnsi="Arial" w:cs="Arial"/>
          <w:b/>
          <w:bCs/>
          <w:highlight w:val="yellow"/>
        </w:rPr>
        <w:t>quando cabível.</w:t>
      </w:r>
    </w:p>
    <w:p w14:paraId="2F8515AC" w14:textId="77777777" w:rsidR="00E05499" w:rsidRPr="00504F81" w:rsidRDefault="00E05499" w:rsidP="00E05499">
      <w:pPr>
        <w:numPr>
          <w:ilvl w:val="0"/>
          <w:numId w:val="13"/>
        </w:numPr>
        <w:tabs>
          <w:tab w:val="left" w:pos="2410"/>
        </w:tabs>
        <w:ind w:left="1134" w:hanging="283"/>
        <w:contextualSpacing/>
        <w:jc w:val="both"/>
        <w:rPr>
          <w:rFonts w:ascii="Arial" w:hAnsi="Arial" w:cs="Arial"/>
          <w:b/>
          <w:bCs/>
          <w:color w:val="FF0000"/>
        </w:rPr>
      </w:pPr>
      <w:r w:rsidRPr="00504F81">
        <w:rPr>
          <w:rFonts w:ascii="Arial" w:hAnsi="Arial" w:cs="Arial"/>
          <w:b/>
          <w:bCs/>
          <w:color w:val="FF0000"/>
          <w:highlight w:val="yellow"/>
        </w:rPr>
        <w:t>Elencar documentações técnicas especificas, se houver.</w:t>
      </w:r>
    </w:p>
    <w:p w14:paraId="1F9D278D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6B030B4F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</w:t>
      </w:r>
      <w:r w:rsidRPr="00D80A51">
        <w:rPr>
          <w:rFonts w:ascii="Arial" w:hAnsi="Arial" w:cs="Arial"/>
          <w:bCs/>
        </w:rPr>
        <w:t>eventual desclassificação da</w:t>
      </w:r>
      <w:r>
        <w:rPr>
          <w:rFonts w:ascii="Arial" w:hAnsi="Arial" w:cs="Arial"/>
          <w:bCs/>
        </w:rPr>
        <w:t xml:space="preserve"> empresa</w:t>
      </w:r>
      <w:r w:rsidRPr="00D80A51">
        <w:rPr>
          <w:rFonts w:ascii="Arial" w:hAnsi="Arial" w:cs="Arial"/>
          <w:bCs/>
        </w:rPr>
        <w:t xml:space="preserve"> 1ª classificada, será solicitada a documentação da 2ª classificada, e assim sucessivamente.</w:t>
      </w:r>
    </w:p>
    <w:p w14:paraId="6ED5D3A7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1C25948C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entrega das documentações deverá ser realizada em envelope fechado e lacrado, rubricado no fecho, contendo em sua identificação: o nome da empresa, número do processo, objeto, nome do proponente, telefone e e-mail. F</w:t>
      </w:r>
      <w:r w:rsidRPr="001A59FB">
        <w:rPr>
          <w:rFonts w:ascii="Arial" w:hAnsi="Arial" w:cs="Arial"/>
          <w:bCs/>
        </w:rPr>
        <w:t>icando certo que o Hospital não será responsabilizado e/ou onerado por eventual ausência de indicação, erro de digitação por parte da empresa e problemas em seu servidor.</w:t>
      </w:r>
    </w:p>
    <w:p w14:paraId="68C08178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C33C4CA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</w:t>
      </w:r>
      <w:r>
        <w:rPr>
          <w:rFonts w:ascii="Arial" w:hAnsi="Arial" w:cs="Arial"/>
          <w:bCs/>
        </w:rPr>
        <w:t>,</w:t>
      </w:r>
      <w:r w:rsidRPr="001A59FB">
        <w:rPr>
          <w:rFonts w:ascii="Arial" w:hAnsi="Arial" w:cs="Arial"/>
          <w:bCs/>
        </w:rPr>
        <w:t xml:space="preserve"> através </w:t>
      </w:r>
      <w:r>
        <w:rPr>
          <w:rFonts w:ascii="Arial" w:hAnsi="Arial" w:cs="Arial"/>
          <w:bCs/>
        </w:rPr>
        <w:t xml:space="preserve">de publicação no site: </w:t>
      </w:r>
      <w:hyperlink r:id="rId8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Style w:val="Hyperlink"/>
          <w:rFonts w:ascii="Arial" w:hAnsi="Arial" w:cs="Arial"/>
          <w:bCs/>
        </w:rPr>
        <w:t>,</w:t>
      </w:r>
      <w:r w:rsidRPr="0034016C">
        <w:rPr>
          <w:rStyle w:val="Hyperlink"/>
          <w:rFonts w:ascii="Arial" w:hAnsi="Arial" w:cs="Arial"/>
          <w:bCs/>
          <w:color w:val="auto"/>
          <w:u w:val="none"/>
        </w:rPr>
        <w:t xml:space="preserve"> a todas as</w:t>
      </w:r>
      <w:r w:rsidRPr="0034016C">
        <w:rPr>
          <w:rFonts w:ascii="Arial" w:hAnsi="Arial" w:cs="Arial"/>
          <w:bCs/>
        </w:rPr>
        <w:t xml:space="preserve"> </w:t>
      </w:r>
      <w:r w:rsidRPr="001A59FB">
        <w:rPr>
          <w:rFonts w:ascii="Arial" w:hAnsi="Arial" w:cs="Arial"/>
          <w:bCs/>
        </w:rPr>
        <w:t>empresas participantes quant</w:t>
      </w:r>
      <w:r>
        <w:rPr>
          <w:rFonts w:ascii="Arial" w:hAnsi="Arial" w:cs="Arial"/>
          <w:bCs/>
        </w:rPr>
        <w:t xml:space="preserve">o ao </w:t>
      </w:r>
      <w:proofErr w:type="gramStart"/>
      <w:r>
        <w:rPr>
          <w:rFonts w:ascii="Arial" w:hAnsi="Arial" w:cs="Arial"/>
          <w:bCs/>
        </w:rPr>
        <w:t>resultado final</w:t>
      </w:r>
      <w:proofErr w:type="gramEnd"/>
      <w:r>
        <w:rPr>
          <w:rFonts w:ascii="Arial" w:hAnsi="Arial" w:cs="Arial"/>
          <w:bCs/>
        </w:rPr>
        <w:t xml:space="preserve"> do certame.</w:t>
      </w:r>
    </w:p>
    <w:p w14:paraId="29115E50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</w:p>
    <w:p w14:paraId="1A5BF03E" w14:textId="77777777" w:rsidR="00E05499" w:rsidRDefault="00E05499" w:rsidP="00E05499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1C3172" w14:textId="77777777" w:rsidR="00E05499" w:rsidRPr="001A59FB" w:rsidRDefault="00E05499" w:rsidP="00E0549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DA ANÁLISE DA PROPOSTAS E DOCUMENTAÇÕES</w:t>
      </w:r>
      <w:r w:rsidRPr="001A59FB">
        <w:rPr>
          <w:rFonts w:ascii="Arial" w:hAnsi="Arial" w:cs="Arial"/>
          <w:b/>
          <w:bCs/>
        </w:rPr>
        <w:t>:</w:t>
      </w:r>
    </w:p>
    <w:p w14:paraId="58A1C1B9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091B1D8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propostas e</w:t>
      </w:r>
      <w:r w:rsidRPr="001A59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documentações</w:t>
      </w:r>
      <w:r w:rsidRPr="001A59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serão analisadas pelo setor de Compras e Contratos </w:t>
      </w:r>
      <w:r w:rsidRPr="001A59FB">
        <w:rPr>
          <w:rFonts w:ascii="Arial" w:hAnsi="Arial" w:cs="Arial"/>
          <w:bCs/>
        </w:rPr>
        <w:t>do Hospital Estadual Mário Covas de Santo André.</w:t>
      </w:r>
    </w:p>
    <w:p w14:paraId="00608AEE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</w:p>
    <w:p w14:paraId="12BE8FAD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DOS RECURSOS E IMPUGNAÇÕES:</w:t>
      </w:r>
    </w:p>
    <w:p w14:paraId="339A90B4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</w:p>
    <w:p w14:paraId="4BAE1BB8" w14:textId="77777777" w:rsidR="00E05499" w:rsidRDefault="00E05499" w:rsidP="00E05499">
      <w:pPr>
        <w:jc w:val="both"/>
        <w:rPr>
          <w:rFonts w:ascii="Arial" w:hAnsi="Arial" w:cs="Arial"/>
          <w:bCs/>
        </w:rPr>
      </w:pPr>
      <w:r w:rsidRPr="002158B1">
        <w:rPr>
          <w:rFonts w:ascii="Arial" w:hAnsi="Arial" w:cs="Arial"/>
          <w:bCs/>
        </w:rPr>
        <w:t>Qualquer pessoa</w:t>
      </w:r>
      <w:r>
        <w:rPr>
          <w:rFonts w:ascii="Arial" w:hAnsi="Arial" w:cs="Arial"/>
          <w:bCs/>
        </w:rPr>
        <w:t xml:space="preserve"> é parte legitima para impugnar os termos dos Atos de Convocação, até 02 (dois) dias antes da data fixada para entrega das propostas, dirigindo o recurso à Diretoria Geral.</w:t>
      </w:r>
    </w:p>
    <w:p w14:paraId="716A3516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128385A1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impugnação oferecida dentro do prazo estabelecido no parágrafo anterior, será encaminhada imediatamente à Diretoria Geral, para que se manifeste quanto à aplicação do efeito suspensivo ou não a essa.</w:t>
      </w:r>
    </w:p>
    <w:p w14:paraId="5AAA360C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</w:p>
    <w:p w14:paraId="4EE84BEA" w14:textId="77777777" w:rsidR="00E05499" w:rsidRDefault="00E05499" w:rsidP="00E05499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Caberá recurso da</w:t>
      </w:r>
      <w:r>
        <w:rPr>
          <w:rFonts w:ascii="Arial" w:hAnsi="Arial" w:cs="Arial"/>
          <w:bCs/>
        </w:rPr>
        <w:t>s decisões</w:t>
      </w:r>
      <w:r w:rsidRPr="001A59FB">
        <w:rPr>
          <w:rFonts w:ascii="Arial" w:hAnsi="Arial" w:cs="Arial"/>
          <w:bCs/>
        </w:rPr>
        <w:t xml:space="preserve"> da </w:t>
      </w:r>
      <w:r>
        <w:rPr>
          <w:rFonts w:ascii="Arial" w:hAnsi="Arial" w:cs="Arial"/>
          <w:bCs/>
        </w:rPr>
        <w:t xml:space="preserve">Diretoria Geral, </w:t>
      </w:r>
      <w:r w:rsidRPr="001A59FB">
        <w:rPr>
          <w:rFonts w:ascii="Arial" w:hAnsi="Arial" w:cs="Arial"/>
          <w:bCs/>
        </w:rPr>
        <w:t>no prazo de 02</w:t>
      </w:r>
      <w:r>
        <w:rPr>
          <w:rFonts w:ascii="Arial" w:hAnsi="Arial" w:cs="Arial"/>
          <w:bCs/>
        </w:rPr>
        <w:t xml:space="preserve"> (dois) dias úteis, constados da publi</w:t>
      </w:r>
      <w:r w:rsidRPr="001A59FB">
        <w:rPr>
          <w:rFonts w:ascii="Arial" w:hAnsi="Arial" w:cs="Arial"/>
          <w:bCs/>
        </w:rPr>
        <w:t xml:space="preserve">cação do </w:t>
      </w:r>
      <w:proofErr w:type="gramStart"/>
      <w:r w:rsidRPr="001A59FB">
        <w:rPr>
          <w:rFonts w:ascii="Arial" w:hAnsi="Arial" w:cs="Arial"/>
          <w:bCs/>
        </w:rPr>
        <w:t>resultado final</w:t>
      </w:r>
      <w:proofErr w:type="gramEnd"/>
      <w:r w:rsidRPr="001A59FB">
        <w:rPr>
          <w:rFonts w:ascii="Arial" w:hAnsi="Arial" w:cs="Arial"/>
          <w:bCs/>
        </w:rPr>
        <w:t xml:space="preserve"> do certame</w:t>
      </w:r>
      <w:r>
        <w:rPr>
          <w:rFonts w:ascii="Arial" w:hAnsi="Arial" w:cs="Arial"/>
          <w:bCs/>
        </w:rPr>
        <w:t xml:space="preserve">, disponível no site </w:t>
      </w:r>
      <w:hyperlink r:id="rId9" w:history="1">
        <w:r w:rsidRPr="000F20F6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>. Os recursos deverão ser protocolados no Setor de Compras e Contratos, do Hospital Estadual Mário Covas, em Santo André.</w:t>
      </w:r>
    </w:p>
    <w:p w14:paraId="40B53CE1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03ED5AA9" w14:textId="77777777" w:rsidR="00E05499" w:rsidRPr="00943D63" w:rsidRDefault="00E05499" w:rsidP="00E05499">
      <w:pPr>
        <w:jc w:val="both"/>
        <w:rPr>
          <w:rFonts w:ascii="Arial" w:hAnsi="Arial" w:cs="Arial"/>
          <w:bCs/>
        </w:rPr>
      </w:pPr>
      <w:r w:rsidRPr="00943D63">
        <w:rPr>
          <w:rFonts w:ascii="Arial" w:hAnsi="Arial" w:cs="Arial"/>
          <w:bCs/>
        </w:rPr>
        <w:t>Estarão legitimados para apresentação de recurso, os representantes legais da empresa e/ou aqueles indicados em procuração específica, pública ou particular, com firma reconhecida.</w:t>
      </w:r>
    </w:p>
    <w:p w14:paraId="43BBAD7B" w14:textId="77777777" w:rsidR="00E05499" w:rsidRPr="00943D63" w:rsidRDefault="00E05499" w:rsidP="00E05499">
      <w:pPr>
        <w:jc w:val="both"/>
        <w:rPr>
          <w:rFonts w:ascii="Arial" w:hAnsi="Arial" w:cs="Arial"/>
          <w:bCs/>
        </w:rPr>
      </w:pPr>
    </w:p>
    <w:p w14:paraId="11FB2858" w14:textId="77777777" w:rsidR="00E05499" w:rsidRPr="001A59FB" w:rsidRDefault="00E05499" w:rsidP="00E05499">
      <w:pPr>
        <w:jc w:val="both"/>
        <w:rPr>
          <w:rFonts w:ascii="Arial" w:hAnsi="Arial" w:cs="Arial"/>
          <w:bCs/>
        </w:rPr>
      </w:pPr>
      <w:r w:rsidRPr="00943D63">
        <w:rPr>
          <w:rFonts w:ascii="Arial" w:hAnsi="Arial" w:cs="Arial"/>
          <w:bCs/>
        </w:rPr>
        <w:t xml:space="preserve">Ocorrendo interposição de recurso por quaisquer das empresas participantes, será publicada, no site </w:t>
      </w:r>
      <w:hyperlink r:id="rId10" w:history="1">
        <w:r w:rsidRPr="00943D63">
          <w:rPr>
            <w:rStyle w:val="Hyperlink"/>
            <w:rFonts w:ascii="Arial" w:hAnsi="Arial" w:cs="Arial"/>
            <w:bCs/>
          </w:rPr>
          <w:t>www.fuabc.org.br</w:t>
        </w:r>
      </w:hyperlink>
      <w:r w:rsidRPr="00943D63">
        <w:rPr>
          <w:rFonts w:ascii="Arial" w:hAnsi="Arial" w:cs="Arial"/>
          <w:bCs/>
        </w:rPr>
        <w:t>, a ciência de tal interposição, para que, em havendo interesse, as demais empresas participantes apresentem suas contrarrazões, em 02(dois) dias úteis, impreterivelmente, da publicação.</w:t>
      </w:r>
    </w:p>
    <w:p w14:paraId="6B477795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</w:p>
    <w:p w14:paraId="2FC37123" w14:textId="77777777" w:rsidR="00E05499" w:rsidRPr="00682203" w:rsidRDefault="00E05499" w:rsidP="00E05499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682203">
        <w:rPr>
          <w:rFonts w:ascii="Arial" w:hAnsi="Arial" w:cs="Arial"/>
          <w:b/>
          <w:bCs/>
          <w:iCs/>
          <w:bdr w:val="none" w:sz="0" w:space="0" w:color="auto" w:frame="1"/>
        </w:rPr>
        <w:t>DAS CONDIÇÕES DE PAGAMENTO:</w:t>
      </w:r>
    </w:p>
    <w:p w14:paraId="77D815AA" w14:textId="77777777" w:rsidR="00E05499" w:rsidRPr="00682203" w:rsidRDefault="00E05499" w:rsidP="00E05499">
      <w:pPr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37C425AD" w14:textId="77777777" w:rsidR="00E05499" w:rsidRPr="00B50A00" w:rsidRDefault="00E05499" w:rsidP="00E05499">
      <w:pPr>
        <w:jc w:val="both"/>
        <w:rPr>
          <w:rFonts w:ascii="Arial" w:hAnsi="Arial" w:cs="Arial"/>
          <w:iCs/>
        </w:rPr>
      </w:pPr>
      <w:r w:rsidRPr="00B50A00">
        <w:rPr>
          <w:rFonts w:ascii="Arial" w:hAnsi="Arial" w:cs="Arial"/>
          <w:iCs/>
        </w:rPr>
        <w:t>O pagamento ao Fornecedor obedecerá ao pactuado na Ordem de compra, através de transferência bancária em conta corrente, com indicação na nota fiscal dos dados bancários, conta corrente, agência e banco.</w:t>
      </w:r>
    </w:p>
    <w:p w14:paraId="7AE62EB1" w14:textId="77777777" w:rsidR="00E05499" w:rsidRPr="00B50A00" w:rsidRDefault="00E05499" w:rsidP="00E05499">
      <w:pPr>
        <w:jc w:val="both"/>
        <w:rPr>
          <w:rFonts w:ascii="Arial" w:hAnsi="Arial" w:cs="Arial"/>
          <w:iCs/>
          <w:bdr w:val="none" w:sz="0" w:space="0" w:color="auto" w:frame="1"/>
        </w:rPr>
      </w:pPr>
    </w:p>
    <w:p w14:paraId="6B9A3C20" w14:textId="77777777" w:rsidR="00E05499" w:rsidRPr="00B50A00" w:rsidRDefault="00E05499" w:rsidP="00E05499">
      <w:pPr>
        <w:jc w:val="both"/>
        <w:rPr>
          <w:rFonts w:ascii="Arial" w:hAnsi="Arial" w:cs="Arial"/>
          <w:iCs/>
          <w:bdr w:val="none" w:sz="0" w:space="0" w:color="auto" w:frame="1"/>
        </w:rPr>
      </w:pPr>
      <w:r w:rsidRPr="00B50A00">
        <w:rPr>
          <w:rFonts w:ascii="Arial" w:hAnsi="Arial" w:cs="Arial"/>
          <w:iCs/>
          <w:bdr w:val="none" w:sz="0" w:space="0" w:color="auto" w:frame="1"/>
        </w:rPr>
        <w:t>Todas as Notas Fiscais emitidas devem ter em seu corpo:</w:t>
      </w:r>
    </w:p>
    <w:p w14:paraId="17019356" w14:textId="77777777" w:rsidR="00E05499" w:rsidRPr="00B50A00" w:rsidRDefault="00E05499" w:rsidP="00E05499">
      <w:pPr>
        <w:jc w:val="both"/>
        <w:rPr>
          <w:rFonts w:ascii="Arial" w:hAnsi="Arial" w:cs="Arial"/>
          <w:iCs/>
          <w:bdr w:val="none" w:sz="0" w:space="0" w:color="auto" w:frame="1"/>
        </w:rPr>
      </w:pPr>
    </w:p>
    <w:p w14:paraId="327DF986" w14:textId="77777777" w:rsidR="00E05499" w:rsidRPr="00B50A00" w:rsidRDefault="00E05499" w:rsidP="00E05499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50A00">
        <w:rPr>
          <w:rFonts w:ascii="Arial" w:hAnsi="Arial" w:cs="Arial"/>
          <w:iCs/>
          <w:bdr w:val="none" w:sz="0" w:space="0" w:color="auto" w:frame="1"/>
        </w:rPr>
        <w:t>O nº da Ordem de Compra emitida;</w:t>
      </w:r>
    </w:p>
    <w:p w14:paraId="25DA54C2" w14:textId="77777777" w:rsidR="00E05499" w:rsidRPr="00B50A00" w:rsidRDefault="00E05499" w:rsidP="00E05499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50A00">
        <w:rPr>
          <w:rFonts w:ascii="Arial" w:hAnsi="Arial" w:cs="Arial"/>
          <w:iCs/>
          <w:bdr w:val="none" w:sz="0" w:space="0" w:color="auto" w:frame="1"/>
        </w:rPr>
        <w:t>O nº do Processo referente à Contratação;</w:t>
      </w:r>
    </w:p>
    <w:p w14:paraId="43F27077" w14:textId="77777777" w:rsidR="00E05499" w:rsidRPr="00B50A00" w:rsidRDefault="00E05499" w:rsidP="00E05499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50A00">
        <w:rPr>
          <w:rFonts w:ascii="Arial" w:hAnsi="Arial" w:cs="Arial"/>
          <w:iCs/>
          <w:bdr w:val="none" w:sz="0" w:space="0" w:color="auto" w:frame="1"/>
        </w:rPr>
        <w:t>A indicação do Órgão Público Contratante: FUABC – Hospital Estadual Mario Covas – CNPJ 57.571.275/0006-07;</w:t>
      </w:r>
    </w:p>
    <w:p w14:paraId="46D164D7" w14:textId="77777777" w:rsidR="00E05499" w:rsidRPr="00B50A00" w:rsidRDefault="00E05499" w:rsidP="00E05499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50A00">
        <w:rPr>
          <w:rFonts w:ascii="Arial" w:hAnsi="Arial" w:cs="Arial"/>
          <w:iCs/>
          <w:bdr w:val="none" w:sz="0" w:space="0" w:color="auto" w:frame="1"/>
        </w:rPr>
        <w:t>Os dizeres: Despesa realizada com base no Contrato de Gestão da Secretaria Estadual de Saúde (SES) – PRC 2022/12096 - Processo nº 001.0500.000021/2017 HEMC, 23/06/2017.</w:t>
      </w:r>
    </w:p>
    <w:p w14:paraId="6A165D40" w14:textId="77777777" w:rsidR="00E05499" w:rsidRDefault="00E05499" w:rsidP="00E05499">
      <w:pPr>
        <w:jc w:val="both"/>
        <w:rPr>
          <w:rFonts w:ascii="Arial" w:hAnsi="Arial" w:cs="Arial"/>
          <w:b/>
          <w:bCs/>
        </w:rPr>
      </w:pPr>
    </w:p>
    <w:p w14:paraId="77045596" w14:textId="77777777" w:rsidR="00E05499" w:rsidRPr="001A59FB" w:rsidRDefault="00E05499" w:rsidP="00E05499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DISPOSIÇÕES GERAIS:</w:t>
      </w:r>
    </w:p>
    <w:p w14:paraId="7C544690" w14:textId="77777777" w:rsidR="00E05499" w:rsidRDefault="00E05499" w:rsidP="00E05499">
      <w:pPr>
        <w:jc w:val="both"/>
        <w:rPr>
          <w:rFonts w:ascii="Arial" w:hAnsi="Arial" w:cs="Arial"/>
        </w:rPr>
      </w:pPr>
    </w:p>
    <w:p w14:paraId="4823F1E1" w14:textId="77777777" w:rsidR="00E05499" w:rsidRPr="001A59FB" w:rsidRDefault="00E05499" w:rsidP="00E05499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A presente coleta de preços respeitará os princípios da igualdade, legalidade, moralidade, pu</w:t>
      </w:r>
      <w:r>
        <w:rPr>
          <w:rFonts w:ascii="Arial" w:hAnsi="Arial" w:cs="Arial"/>
        </w:rPr>
        <w:t xml:space="preserve">blicidade, impessoalidade, do interesse público, da </w:t>
      </w:r>
      <w:r w:rsidRPr="001A59FB">
        <w:rPr>
          <w:rFonts w:ascii="Arial" w:hAnsi="Arial" w:cs="Arial"/>
        </w:rPr>
        <w:t>probidade administrativa</w:t>
      </w:r>
      <w:r>
        <w:rPr>
          <w:rFonts w:ascii="Arial" w:hAnsi="Arial" w:cs="Arial"/>
        </w:rPr>
        <w:t xml:space="preserve">, da motivação, da vinculação ao edital, do julgamento objetivo, da segurança jurídica, da razoabilidade, da </w:t>
      </w:r>
      <w:r>
        <w:rPr>
          <w:rFonts w:ascii="Arial" w:hAnsi="Arial" w:cs="Arial"/>
        </w:rPr>
        <w:lastRenderedPageBreak/>
        <w:t>competitividade, da proporcionalidade, da economicidade e da transparência de todas as atividades,</w:t>
      </w:r>
      <w:r w:rsidRPr="001A59FB">
        <w:rPr>
          <w:rFonts w:ascii="Arial" w:hAnsi="Arial" w:cs="Arial"/>
        </w:rPr>
        <w:t xml:space="preserve"> garantindo assim lisura em todo o processo.</w:t>
      </w:r>
    </w:p>
    <w:p w14:paraId="2603306A" w14:textId="77777777" w:rsidR="00E05499" w:rsidRPr="001A59FB" w:rsidRDefault="00E05499" w:rsidP="00E05499">
      <w:pPr>
        <w:jc w:val="both"/>
        <w:rPr>
          <w:rFonts w:ascii="Arial" w:hAnsi="Arial" w:cs="Arial"/>
        </w:rPr>
      </w:pPr>
    </w:p>
    <w:p w14:paraId="636506A8" w14:textId="77777777" w:rsidR="00E05499" w:rsidRPr="001A59FB" w:rsidRDefault="00E05499" w:rsidP="00E05499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O valor apresentado deverá ser em reais, com até duas casas decimais, incluído todos os custos básicos diretos bem como tributos, encargos sociais e trabalhistas e quaisquer outros custos ou despesas necessárias à execução dos serviços, que incidam ou venham a incidir direta ou indiretamente sobre o objeto do serviço.</w:t>
      </w:r>
    </w:p>
    <w:p w14:paraId="35BD450E" w14:textId="77777777" w:rsidR="00E05499" w:rsidRDefault="00E05499" w:rsidP="00E05499">
      <w:pPr>
        <w:jc w:val="both"/>
        <w:rPr>
          <w:rFonts w:ascii="Arial" w:hAnsi="Arial" w:cs="Arial"/>
        </w:rPr>
      </w:pPr>
    </w:p>
    <w:p w14:paraId="390F04C0" w14:textId="77777777" w:rsidR="00E05499" w:rsidRPr="00943D63" w:rsidRDefault="00E05499" w:rsidP="00E05499">
      <w:pPr>
        <w:jc w:val="both"/>
        <w:rPr>
          <w:rFonts w:ascii="Arial" w:hAnsi="Arial" w:cs="Arial"/>
        </w:rPr>
      </w:pPr>
      <w:r w:rsidRPr="00943D63">
        <w:rPr>
          <w:rFonts w:ascii="Arial" w:hAnsi="Arial" w:cs="Arial"/>
        </w:rPr>
        <w:t xml:space="preserve">O interessado que tiver dúvidas de caráter técnico ou legal </w:t>
      </w:r>
      <w:r w:rsidRPr="00943D63">
        <w:rPr>
          <w:rFonts w:ascii="Arial" w:hAnsi="Arial" w:cs="Arial"/>
          <w:b/>
          <w:u w:val="single"/>
        </w:rPr>
        <w:t>quanto à interpretação</w:t>
      </w:r>
      <w:r w:rsidRPr="00943D63">
        <w:rPr>
          <w:rFonts w:ascii="Arial" w:hAnsi="Arial" w:cs="Arial"/>
        </w:rPr>
        <w:t xml:space="preserve"> do(s) termo(s) deste Ato de Convocação poderá enviar solicitação de esclarecimento, por escrito, direcionada ao Setor de Compras e Contratos do Hospital Estadual Mario Covas, com a indicação do nome da empresa solicitante, nome do responsável legal ou preposto demandante e endereço de e-mail para a resposta. A solicitação deverá ser encaminhada em até 02 (dois) dias úteis antes da data final da entrega das propostas, a fim de permitir que haja tempo hábil para resposta. Os esclarecimentos serão encaminhados aos interessados por e-mail.</w:t>
      </w:r>
    </w:p>
    <w:p w14:paraId="10360B5A" w14:textId="77777777" w:rsidR="00E05499" w:rsidRPr="00943D63" w:rsidRDefault="00E05499" w:rsidP="00E05499">
      <w:pPr>
        <w:jc w:val="both"/>
        <w:rPr>
          <w:rFonts w:ascii="Arial" w:hAnsi="Arial" w:cs="Arial"/>
        </w:rPr>
      </w:pPr>
    </w:p>
    <w:p w14:paraId="045E27C2" w14:textId="77777777" w:rsidR="00E05499" w:rsidRPr="00943D63" w:rsidRDefault="00E05499" w:rsidP="00E05499">
      <w:pPr>
        <w:spacing w:after="200" w:line="276" w:lineRule="auto"/>
        <w:rPr>
          <w:rFonts w:ascii="Arial" w:hAnsi="Arial" w:cs="Arial"/>
          <w:b/>
          <w:u w:val="single"/>
        </w:rPr>
      </w:pPr>
      <w:r w:rsidRPr="00943D63">
        <w:rPr>
          <w:rFonts w:ascii="Arial" w:hAnsi="Arial" w:cs="Arial"/>
          <w:b/>
          <w:u w:val="single"/>
        </w:rPr>
        <w:t xml:space="preserve">Não serão atendidas solicitações verbais ou por telefone. </w:t>
      </w:r>
    </w:p>
    <w:p w14:paraId="2B27E976" w14:textId="77777777" w:rsidR="00E05499" w:rsidRPr="00943D63" w:rsidRDefault="00E05499" w:rsidP="00E05499">
      <w:pPr>
        <w:jc w:val="both"/>
        <w:rPr>
          <w:rFonts w:ascii="Arial" w:hAnsi="Arial" w:cs="Arial"/>
        </w:rPr>
      </w:pPr>
    </w:p>
    <w:p w14:paraId="35341F3F" w14:textId="77777777" w:rsidR="00E05499" w:rsidRPr="001A59FB" w:rsidRDefault="00E05499" w:rsidP="00E05499">
      <w:pPr>
        <w:jc w:val="both"/>
        <w:rPr>
          <w:rFonts w:ascii="Arial" w:hAnsi="Arial" w:cs="Arial"/>
        </w:rPr>
      </w:pPr>
      <w:r w:rsidRPr="00943D63">
        <w:rPr>
          <w:rFonts w:ascii="Arial" w:hAnsi="Arial" w:cs="Arial"/>
        </w:rPr>
        <w:t xml:space="preserve">Durante o período compreendido entre a data de entrega das propostas e a notificação do </w:t>
      </w:r>
      <w:proofErr w:type="gramStart"/>
      <w:r w:rsidRPr="00943D63">
        <w:rPr>
          <w:rFonts w:ascii="Arial" w:hAnsi="Arial" w:cs="Arial"/>
        </w:rPr>
        <w:t>resultado final</w:t>
      </w:r>
      <w:proofErr w:type="gramEnd"/>
      <w:r w:rsidRPr="00943D63">
        <w:rPr>
          <w:rFonts w:ascii="Arial" w:hAnsi="Arial" w:cs="Arial"/>
        </w:rPr>
        <w:t xml:space="preserve"> do certame, os concorrentes deverão abster-se de entrar em contato com os colaboradores do hospital para assuntos correlatos.</w:t>
      </w:r>
    </w:p>
    <w:p w14:paraId="2B9F8363" w14:textId="77777777" w:rsidR="00E05499" w:rsidRPr="001A59FB" w:rsidRDefault="00E05499" w:rsidP="00E05499">
      <w:pPr>
        <w:jc w:val="both"/>
        <w:rPr>
          <w:rFonts w:ascii="Arial" w:hAnsi="Arial" w:cs="Arial"/>
        </w:rPr>
      </w:pPr>
    </w:p>
    <w:p w14:paraId="21803C17" w14:textId="4E0BF392" w:rsidR="00E05499" w:rsidRPr="002E242B" w:rsidRDefault="00E05499" w:rsidP="00E054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Santo André, </w:t>
      </w:r>
      <w:r>
        <w:rPr>
          <w:rFonts w:ascii="Arial" w:hAnsi="Arial" w:cs="Arial"/>
          <w:color w:val="FF0000"/>
        </w:rPr>
        <w:t>23</w:t>
      </w:r>
      <w:r w:rsidRPr="00A1293E">
        <w:rPr>
          <w:rFonts w:ascii="Arial" w:hAnsi="Arial" w:cs="Arial"/>
          <w:color w:val="FF0000"/>
        </w:rPr>
        <w:t xml:space="preserve"> de janeiro de 2023</w:t>
      </w:r>
      <w:r w:rsidRPr="002E242B">
        <w:rPr>
          <w:rFonts w:ascii="Arial" w:hAnsi="Arial" w:cs="Arial"/>
        </w:rPr>
        <w:t>.</w:t>
      </w:r>
    </w:p>
    <w:p w14:paraId="4F8E1100" w14:textId="77777777" w:rsidR="00E05499" w:rsidRPr="00021E57" w:rsidRDefault="00E05499" w:rsidP="00E05499">
      <w:pPr>
        <w:jc w:val="both"/>
        <w:rPr>
          <w:rFonts w:ascii="Arial" w:hAnsi="Arial" w:cs="Arial"/>
          <w:color w:val="7F7F7F" w:themeColor="text1" w:themeTint="80"/>
        </w:rPr>
      </w:pPr>
    </w:p>
    <w:p w14:paraId="182F1441" w14:textId="77777777" w:rsidR="00E05499" w:rsidRPr="00021E57" w:rsidRDefault="00E05499" w:rsidP="00E05499">
      <w:pPr>
        <w:jc w:val="both"/>
        <w:rPr>
          <w:rFonts w:ascii="Arial" w:hAnsi="Arial" w:cs="Arial"/>
          <w:color w:val="7F7F7F" w:themeColor="text1" w:themeTint="80"/>
        </w:rPr>
      </w:pPr>
    </w:p>
    <w:p w14:paraId="6128C0A0" w14:textId="77777777" w:rsidR="00E05499" w:rsidRDefault="00E05499" w:rsidP="00E05499">
      <w:pPr>
        <w:jc w:val="both"/>
        <w:rPr>
          <w:rFonts w:ascii="Arial" w:hAnsi="Arial" w:cs="Arial"/>
          <w:b/>
          <w:i/>
          <w:sz w:val="22"/>
        </w:rPr>
      </w:pPr>
    </w:p>
    <w:p w14:paraId="7372B11C" w14:textId="77777777" w:rsidR="00E05499" w:rsidRDefault="00E05499" w:rsidP="00E05499">
      <w:pPr>
        <w:jc w:val="both"/>
        <w:rPr>
          <w:rFonts w:ascii="Arial" w:hAnsi="Arial" w:cs="Arial"/>
          <w:b/>
          <w:i/>
          <w:sz w:val="22"/>
        </w:rPr>
      </w:pPr>
    </w:p>
    <w:p w14:paraId="12016A19" w14:textId="77777777" w:rsidR="00E05499" w:rsidRDefault="00E05499" w:rsidP="00E05499">
      <w:pPr>
        <w:jc w:val="both"/>
        <w:rPr>
          <w:rFonts w:ascii="Arial" w:hAnsi="Arial" w:cs="Arial"/>
          <w:b/>
          <w:i/>
          <w:sz w:val="22"/>
        </w:rPr>
      </w:pPr>
    </w:p>
    <w:p w14:paraId="5B4FFC59" w14:textId="77777777" w:rsidR="00E05499" w:rsidRDefault="00E05499" w:rsidP="00E05499">
      <w:pPr>
        <w:jc w:val="both"/>
        <w:rPr>
          <w:rFonts w:ascii="Arial" w:hAnsi="Arial" w:cs="Arial"/>
          <w:b/>
          <w:i/>
          <w:sz w:val="22"/>
        </w:rPr>
      </w:pPr>
    </w:p>
    <w:p w14:paraId="2690D62C" w14:textId="753ADED0" w:rsidR="00E05499" w:rsidRPr="00A1293E" w:rsidRDefault="001D6AB7" w:rsidP="00E05499">
      <w:pPr>
        <w:jc w:val="both"/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Rodrigo Felicio Vassella</w:t>
      </w:r>
    </w:p>
    <w:p w14:paraId="32AA4F7B" w14:textId="3DA0DCF0" w:rsidR="00E05499" w:rsidRPr="002E242B" w:rsidRDefault="001D6AB7" w:rsidP="00E0549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>Comprador</w:t>
      </w:r>
    </w:p>
    <w:p w14:paraId="4AB7FED2" w14:textId="77777777" w:rsidR="00E05499" w:rsidRDefault="00E05499" w:rsidP="00E05499">
      <w:pPr>
        <w:rPr>
          <w:rFonts w:ascii="Arial" w:hAnsi="Arial" w:cs="Arial"/>
          <w:b/>
          <w:i/>
          <w:sz w:val="22"/>
        </w:rPr>
      </w:pPr>
    </w:p>
    <w:p w14:paraId="0FB78FAA" w14:textId="77777777" w:rsidR="00E05499" w:rsidRDefault="00E05499" w:rsidP="00E05499">
      <w:pPr>
        <w:rPr>
          <w:rFonts w:ascii="Arial" w:hAnsi="Arial" w:cs="Arial"/>
          <w:b/>
          <w:i/>
          <w:sz w:val="22"/>
        </w:rPr>
      </w:pPr>
    </w:p>
    <w:p w14:paraId="100F2A47" w14:textId="77777777" w:rsidR="00E05499" w:rsidRDefault="00E05499" w:rsidP="00E05499">
      <w:pPr>
        <w:rPr>
          <w:rFonts w:ascii="Arial" w:hAnsi="Arial" w:cs="Arial"/>
          <w:b/>
          <w:i/>
          <w:sz w:val="22"/>
        </w:rPr>
      </w:pPr>
    </w:p>
    <w:p w14:paraId="30D59E24" w14:textId="77777777" w:rsidR="00E05499" w:rsidRDefault="00E05499" w:rsidP="00E05499">
      <w:pPr>
        <w:rPr>
          <w:rFonts w:ascii="Arial" w:hAnsi="Arial" w:cs="Arial"/>
          <w:b/>
          <w:i/>
          <w:sz w:val="22"/>
        </w:rPr>
      </w:pPr>
    </w:p>
    <w:p w14:paraId="0E209556" w14:textId="77777777" w:rsidR="00E05499" w:rsidRPr="002E242B" w:rsidRDefault="00E05499" w:rsidP="00E05499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Kátia Cilene Sgrignoli Marmo</w:t>
      </w:r>
    </w:p>
    <w:p w14:paraId="130DB7F2" w14:textId="77777777" w:rsidR="00E05499" w:rsidRDefault="00E05499" w:rsidP="00E05499">
      <w:pPr>
        <w:rPr>
          <w:rFonts w:ascii="Arial" w:hAnsi="Arial" w:cs="Arial"/>
          <w:sz w:val="22"/>
        </w:rPr>
      </w:pPr>
      <w:r w:rsidRPr="002E242B">
        <w:rPr>
          <w:rFonts w:ascii="Arial" w:hAnsi="Arial" w:cs="Arial"/>
          <w:sz w:val="22"/>
        </w:rPr>
        <w:t>Coo</w:t>
      </w:r>
      <w:r>
        <w:rPr>
          <w:rFonts w:ascii="Arial" w:hAnsi="Arial" w:cs="Arial"/>
          <w:sz w:val="22"/>
        </w:rPr>
        <w:t>rdenadora de Compras</w:t>
      </w:r>
    </w:p>
    <w:p w14:paraId="10567F21" w14:textId="77777777" w:rsidR="00E05499" w:rsidRPr="00CE19F6" w:rsidRDefault="00E05499" w:rsidP="00E05499">
      <w:pPr>
        <w:rPr>
          <w:rFonts w:ascii="Arial" w:hAnsi="Arial" w:cs="Arial"/>
          <w:sz w:val="22"/>
        </w:rPr>
      </w:pPr>
    </w:p>
    <w:p w14:paraId="6157E203" w14:textId="77777777" w:rsidR="00E05499" w:rsidRPr="00CE19F6" w:rsidRDefault="00E05499" w:rsidP="00E05499">
      <w:pPr>
        <w:rPr>
          <w:rFonts w:ascii="Arial" w:hAnsi="Arial" w:cs="Arial"/>
          <w:sz w:val="22"/>
        </w:rPr>
      </w:pPr>
    </w:p>
    <w:p w14:paraId="038682CE" w14:textId="77777777" w:rsidR="00E05499" w:rsidRPr="00CE19F6" w:rsidRDefault="00E05499" w:rsidP="00E05499">
      <w:pPr>
        <w:rPr>
          <w:rFonts w:ascii="Arial" w:hAnsi="Arial" w:cs="Arial"/>
          <w:sz w:val="22"/>
        </w:rPr>
      </w:pPr>
    </w:p>
    <w:p w14:paraId="5A54DA06" w14:textId="77777777" w:rsidR="00E05499" w:rsidRDefault="00E05499" w:rsidP="00E05499">
      <w:pPr>
        <w:rPr>
          <w:rFonts w:ascii="Arial" w:hAnsi="Arial" w:cs="Arial"/>
          <w:sz w:val="22"/>
        </w:rPr>
      </w:pPr>
    </w:p>
    <w:p w14:paraId="043CF312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3145B9AE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5AF10E44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6CBD4089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3361AEF2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45815866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0E291CC5" w14:textId="77777777" w:rsidR="00E05499" w:rsidRDefault="00E05499" w:rsidP="00E05499">
      <w:pPr>
        <w:jc w:val="center"/>
        <w:rPr>
          <w:rFonts w:ascii="Arial" w:hAnsi="Arial" w:cs="Arial"/>
          <w:b/>
          <w:bCs/>
        </w:rPr>
      </w:pPr>
    </w:p>
    <w:p w14:paraId="5C0901D3" w14:textId="77777777" w:rsidR="001D6AB7" w:rsidRDefault="001D6AB7" w:rsidP="00E05499">
      <w:pPr>
        <w:jc w:val="center"/>
        <w:rPr>
          <w:rFonts w:ascii="Arial" w:hAnsi="Arial" w:cs="Arial"/>
          <w:b/>
          <w:bCs/>
        </w:rPr>
      </w:pPr>
    </w:p>
    <w:p w14:paraId="5A4171A1" w14:textId="3C1DBDD9" w:rsidR="00E05499" w:rsidRDefault="00E05499" w:rsidP="00E054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TERMO DE REFERÊNCIA PARA AQUISIÇÃO</w:t>
      </w:r>
    </w:p>
    <w:p w14:paraId="1BB112F2" w14:textId="77777777" w:rsidR="00E05499" w:rsidRDefault="00E05499" w:rsidP="00E05499">
      <w:pPr>
        <w:jc w:val="center"/>
        <w:rPr>
          <w:rFonts w:ascii="Arial" w:hAnsi="Arial" w:cs="Arial"/>
          <w:bCs/>
        </w:rPr>
      </w:pPr>
    </w:p>
    <w:p w14:paraId="73307F24" w14:textId="77777777" w:rsidR="00E05499" w:rsidRDefault="00E05499" w:rsidP="00E05499">
      <w:pPr>
        <w:jc w:val="center"/>
        <w:rPr>
          <w:rFonts w:ascii="Arial" w:hAnsi="Arial" w:cs="Arial"/>
          <w:bCs/>
        </w:rPr>
      </w:pPr>
    </w:p>
    <w:p w14:paraId="268A6EE2" w14:textId="77777777" w:rsidR="00E05499" w:rsidRDefault="00E05499" w:rsidP="00E05499">
      <w:pPr>
        <w:pStyle w:val="PargrafodaLista"/>
        <w:numPr>
          <w:ilvl w:val="0"/>
          <w:numId w:val="1"/>
        </w:numPr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OBJETO DA AQUISIÇÃO</w:t>
      </w:r>
    </w:p>
    <w:p w14:paraId="27CC8FAC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6DB07C78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1.1 - Aquisição pelo Hospital Estadual Mario Covas de Santo André (HEMC) de Aparelho </w:t>
      </w:r>
      <w:proofErr w:type="spellStart"/>
      <w:r>
        <w:rPr>
          <w:rFonts w:ascii="Arial" w:hAnsi="Arial" w:cs="Arial"/>
          <w:bCs/>
        </w:rPr>
        <w:t>Multi</w:t>
      </w:r>
      <w:proofErr w:type="spellEnd"/>
      <w:r>
        <w:rPr>
          <w:rFonts w:ascii="Arial" w:hAnsi="Arial" w:cs="Arial"/>
          <w:bCs/>
        </w:rPr>
        <w:t xml:space="preserve"> Split e Cortinas de Ar para Ar-Condicionado do Salão de Atendimento da Farmácia de Componentes Especializados, conforme condições, quantidades e exigências estabelecidas neste instrumento.</w:t>
      </w:r>
    </w:p>
    <w:p w14:paraId="26A3F045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A455776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139463F" w14:textId="77777777" w:rsidR="00E05499" w:rsidRDefault="00E05499" w:rsidP="00E05499">
      <w:pPr>
        <w:pStyle w:val="PargrafodaLista"/>
        <w:numPr>
          <w:ilvl w:val="0"/>
          <w:numId w:val="1"/>
        </w:numPr>
        <w:ind w:left="644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DESCRIÇÃO PARA AQUISIÇÃO</w:t>
      </w:r>
    </w:p>
    <w:p w14:paraId="1D48CCCF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0CE5E696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2.1 - Segue tabela, com descrição e quantidade dos bens a serem adquiridos.</w:t>
      </w:r>
    </w:p>
    <w:tbl>
      <w:tblPr>
        <w:tblpPr w:leftFromText="141" w:rightFromText="141" w:vertAnchor="text" w:horzAnchor="margin" w:tblpXSpec="center" w:tblpY="516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513"/>
        <w:gridCol w:w="992"/>
        <w:gridCol w:w="992"/>
      </w:tblGrid>
      <w:tr w:rsidR="00E05499" w14:paraId="285F5BCE" w14:textId="77777777" w:rsidTr="00696E1A">
        <w:trPr>
          <w:trHeight w:val="2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ACBC39C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61C1D94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DESCRIÇÃO/ESPECIFICAÇÃO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A76B71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74D19C20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UNID</w:t>
            </w:r>
          </w:p>
        </w:tc>
      </w:tr>
      <w:tr w:rsidR="00E05499" w14:paraId="61536C8D" w14:textId="77777777" w:rsidTr="00696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42"/>
        </w:trPr>
        <w:tc>
          <w:tcPr>
            <w:tcW w:w="779" w:type="dxa"/>
            <w:vAlign w:val="center"/>
          </w:tcPr>
          <w:p w14:paraId="6D51C221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513" w:type="dxa"/>
            <w:vAlign w:val="center"/>
          </w:tcPr>
          <w:p w14:paraId="74915316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Equipamento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Multi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Split (unidade interna e externa)</w:t>
            </w:r>
          </w:p>
          <w:p w14:paraId="062D70CD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D1B0D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Fabricante: Springer Carrier S.A</w:t>
            </w:r>
          </w:p>
          <w:p w14:paraId="61138C80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1EEFB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Modelo: 38ABA390226S</w:t>
            </w:r>
          </w:p>
          <w:p w14:paraId="5339DCEA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CCCA7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Alimentação: 220V - Trifásico</w:t>
            </w:r>
          </w:p>
          <w:p w14:paraId="4AA42618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63146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Comando: 220V</w:t>
            </w:r>
          </w:p>
          <w:p w14:paraId="03AD1A02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B6E75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594D07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92" w:type="dxa"/>
            <w:vAlign w:val="center"/>
          </w:tcPr>
          <w:p w14:paraId="09ECED2C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</w:tr>
    </w:tbl>
    <w:p w14:paraId="58784692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193837B7" w14:textId="77777777" w:rsidR="00E05499" w:rsidRDefault="00E05499" w:rsidP="00E05499">
      <w:pPr>
        <w:ind w:left="284"/>
        <w:jc w:val="both"/>
        <w:rPr>
          <w:rFonts w:ascii="Arial" w:hAnsi="Arial" w:cs="Arial"/>
          <w:bCs/>
          <w:color w:val="000000" w:themeColor="text1"/>
        </w:rPr>
      </w:pPr>
    </w:p>
    <w:tbl>
      <w:tblPr>
        <w:tblpPr w:leftFromText="141" w:rightFromText="141" w:vertAnchor="text" w:horzAnchor="page" w:tblpX="1084" w:tblpY="135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513"/>
        <w:gridCol w:w="992"/>
        <w:gridCol w:w="992"/>
      </w:tblGrid>
      <w:tr w:rsidR="00E05499" w14:paraId="5D64C8DB" w14:textId="77777777" w:rsidTr="00696E1A">
        <w:trPr>
          <w:trHeight w:val="2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CBE37CE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86FA8E3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DESCRIÇÃO/ESPECIFICAÇÃO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EAED824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4A6C874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UNID</w:t>
            </w:r>
          </w:p>
        </w:tc>
      </w:tr>
      <w:tr w:rsidR="00E05499" w14:paraId="15147AFC" w14:textId="77777777" w:rsidTr="00696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47"/>
        </w:trPr>
        <w:tc>
          <w:tcPr>
            <w:tcW w:w="779" w:type="dxa"/>
            <w:vAlign w:val="center"/>
          </w:tcPr>
          <w:p w14:paraId="7E7A54AB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513" w:type="dxa"/>
            <w:vAlign w:val="center"/>
          </w:tcPr>
          <w:p w14:paraId="360F1F87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Cortina de Ar de 1,20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 controle remoto</w:t>
            </w:r>
          </w:p>
          <w:p w14:paraId="7D395E2C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BFEA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Tensão: 220V</w:t>
            </w:r>
          </w:p>
        </w:tc>
        <w:tc>
          <w:tcPr>
            <w:tcW w:w="992" w:type="dxa"/>
            <w:vAlign w:val="center"/>
          </w:tcPr>
          <w:p w14:paraId="28752649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992" w:type="dxa"/>
            <w:vAlign w:val="center"/>
          </w:tcPr>
          <w:p w14:paraId="314A93CA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</w:tr>
    </w:tbl>
    <w:p w14:paraId="4DBEDDC7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2E4EF908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*Do modelo e marca acima referenciado, uma vez que é o único que se acopla a toda infraestrutura </w:t>
      </w:r>
      <w:proofErr w:type="spellStart"/>
      <w:r>
        <w:rPr>
          <w:rFonts w:ascii="Arial" w:hAnsi="Arial" w:cs="Arial"/>
          <w:bCs/>
        </w:rPr>
        <w:t>frigorigena</w:t>
      </w:r>
      <w:proofErr w:type="spellEnd"/>
      <w:r>
        <w:rPr>
          <w:rFonts w:ascii="Arial" w:hAnsi="Arial" w:cs="Arial"/>
          <w:bCs/>
        </w:rPr>
        <w:t xml:space="preserve">, tubulações dimensionamento do projeto já implantado no </w:t>
      </w:r>
      <w:proofErr w:type="gramStart"/>
      <w:r>
        <w:rPr>
          <w:rFonts w:ascii="Arial" w:hAnsi="Arial" w:cs="Arial"/>
          <w:bCs/>
        </w:rPr>
        <w:t>local ,</w:t>
      </w:r>
      <w:proofErr w:type="gramEnd"/>
      <w:r>
        <w:rPr>
          <w:rFonts w:ascii="Arial" w:hAnsi="Arial" w:cs="Arial"/>
          <w:bCs/>
        </w:rPr>
        <w:t xml:space="preserve"> e dimensionamento do circuito elétrico.</w:t>
      </w:r>
    </w:p>
    <w:p w14:paraId="26B4644D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178A0E2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BC0DFCF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156DCA4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2C5B749E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4B95A0BF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4644A6F0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2C52013" w14:textId="77777777" w:rsidR="00E05499" w:rsidRDefault="00E05499" w:rsidP="00E05499">
      <w:pPr>
        <w:pStyle w:val="PargrafodaLista"/>
        <w:numPr>
          <w:ilvl w:val="0"/>
          <w:numId w:val="1"/>
        </w:numPr>
        <w:ind w:left="360" w:hanging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APRESENTAÇÃO DA PROPOSTA</w:t>
      </w:r>
    </w:p>
    <w:p w14:paraId="6F6C5F67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2B94DED7" w14:textId="77777777" w:rsidR="00E05499" w:rsidRDefault="00E05499" w:rsidP="00E054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3.1 - As propostas deverão ofertar os valores por item e total, através do preenchimento da tabela, incluídos todos os tributos e eventuais custos de transporte.</w:t>
      </w:r>
    </w:p>
    <w:p w14:paraId="0935B1A7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6BED1B72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0242E512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5B5A925E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3CAE0E25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7C6184CB" w14:textId="77777777" w:rsidR="00E05499" w:rsidRDefault="00E05499" w:rsidP="00E05499">
      <w:pPr>
        <w:pStyle w:val="PargrafodaLista"/>
        <w:numPr>
          <w:ilvl w:val="0"/>
          <w:numId w:val="1"/>
        </w:numPr>
        <w:ind w:left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OBJETIVO / JUSTIFICATIVA</w:t>
      </w:r>
    </w:p>
    <w:p w14:paraId="44305A67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0E090899" w14:textId="77777777" w:rsidR="00E05499" w:rsidRDefault="00E05499" w:rsidP="00E054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 – Mediante o grande número de pessoas atendidas por dia na Farmácia de Componentes Especializados e ainda o contingente de funcionários que atuam no atendimento dessa demanda, se faz imprescindível ofertar um ambiente dentro do que é preconizado pela Política Nacional de Humanização quanto à ambiência em saúde, tornando os espaços físicos que comportam essa finalidade, adequados quanto às questões relacionadas à climatização do ambiente para garantir a saúde, a segurança, o bem-estar e o conforto dos ocupantes do referido setor.</w:t>
      </w:r>
    </w:p>
    <w:p w14:paraId="0B9B8DA2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69952E3B" w14:textId="77777777" w:rsidR="00E05499" w:rsidRDefault="00E05499" w:rsidP="00E054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Desta forma, torna-se latente a necessidade da realização de manutenções preventivas e corretivas periódicas dos equipamentos, atendendo às exigências da ANVISA, atividade esta que o HEMC possui e onde através desta, pode-se evidenciar que o Ar-Condicionado do Salão de Atendimento da Farmácia de Componentes Especializados está com seu funcionamento comprometido não sendo mais possível a sua utilização, promovendo assim, alto desconforto, inúmeras reclamações (notificações, ouvidorias....) e até mesmo atendimento médico às pessoas que apresentam estado de indisposição.</w:t>
      </w:r>
    </w:p>
    <w:p w14:paraId="1B1B77FC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07D6BD44" w14:textId="77777777" w:rsidR="00E05499" w:rsidRDefault="00E05499" w:rsidP="00E054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entanto, para sua normalização é necessário a aquisição de peças específicas, como determina o estudo solicitado pela Diretoria do Hospital e realizado pelo setor de engenharia do mesmo (abaixo), onde foi avaliado a possibilidade da aquisição de novo equipamento central, também a </w:t>
      </w:r>
      <w:proofErr w:type="gramStart"/>
      <w:r>
        <w:rPr>
          <w:rFonts w:ascii="Arial" w:eastAsia="Arial" w:hAnsi="Arial" w:cs="Arial"/>
        </w:rPr>
        <w:t>possibilidade de novo projeto</w:t>
      </w:r>
      <w:proofErr w:type="gramEnd"/>
      <w:r>
        <w:rPr>
          <w:rFonts w:ascii="Arial" w:eastAsia="Arial" w:hAnsi="Arial" w:cs="Arial"/>
        </w:rPr>
        <w:t xml:space="preserve"> com equipamentos setorizados e por último o reparo do atual equipamento agregado à instalação de cortinas de ar para otimização da climatização ambiental.</w:t>
      </w:r>
    </w:p>
    <w:p w14:paraId="54278E74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0C90CD30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2A1C6422" w14:textId="77777777" w:rsidR="00E05499" w:rsidRDefault="00E05499" w:rsidP="00E05499">
      <w:pPr>
        <w:pStyle w:val="PargrafodaLista"/>
        <w:numPr>
          <w:ilvl w:val="0"/>
          <w:numId w:val="1"/>
        </w:numPr>
        <w:ind w:left="360" w:hanging="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ENTREGA E CRITÉRIOS DE ACEITAÇÃO DO BEM/OBJETO</w:t>
      </w:r>
    </w:p>
    <w:p w14:paraId="1E3A40F3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BDA6087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5.1 - O prazo de entrega dos bens é de 10 (dez) dias, contados do comunicado formal à empresa considerada vencedora do certame, em remessa única, no endereço do hospital: Rua Dr. Henrique </w:t>
      </w:r>
      <w:proofErr w:type="spellStart"/>
      <w:r>
        <w:rPr>
          <w:rFonts w:ascii="Arial" w:hAnsi="Arial" w:cs="Arial"/>
          <w:bCs/>
        </w:rPr>
        <w:t>Calderazzo</w:t>
      </w:r>
      <w:proofErr w:type="spellEnd"/>
      <w:r>
        <w:rPr>
          <w:rFonts w:ascii="Arial" w:hAnsi="Arial" w:cs="Arial"/>
          <w:bCs/>
        </w:rPr>
        <w:t>, 321, Paraíso, Santo André/SP, CEP 09190-615.</w:t>
      </w:r>
    </w:p>
    <w:p w14:paraId="43B5E200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3ABF45D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66CA6FDF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5.2.</w:t>
      </w:r>
      <w:r>
        <w:rPr>
          <w:rFonts w:ascii="Arial" w:hAnsi="Arial" w:cs="Arial"/>
          <w:bCs/>
        </w:rPr>
        <w:tab/>
        <w:t>Os bens serão recebidos provisoriamente no prazo de 15 (quinze) dias pelo(a) responsável pelo acompanhamento e fiscalização da aquisição, para efeito de posterior verificação de sua conformidade com as especificações constantes neste Termo de Referência e na proposta.</w:t>
      </w:r>
    </w:p>
    <w:p w14:paraId="7F32A0EA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4542838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B97C5E2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5.3.</w:t>
      </w:r>
      <w:r>
        <w:rPr>
          <w:rFonts w:ascii="Arial" w:hAnsi="Arial" w:cs="Arial"/>
          <w:bCs/>
        </w:rPr>
        <w:tab/>
        <w:t>Os bens poderão ser rejeitados, no todo ou em parte, quando em desacordo com as especificações constantes neste Termo de Referência e na proposta, devendo ser substituídos no prazo de 05 (cinco)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>dias, a contar da notificação da empresa vencedora, às suas custas, sem prejuízo da aplicação das penalidades.</w:t>
      </w:r>
    </w:p>
    <w:p w14:paraId="488F4B43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C473337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128491B6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5.4.</w:t>
      </w:r>
      <w:r>
        <w:rPr>
          <w:rFonts w:ascii="Arial" w:hAnsi="Arial" w:cs="Arial"/>
          <w:bCs/>
        </w:rPr>
        <w:tab/>
        <w:t>Os bens serão considerados recebidos em definitivo, após 15 (quinze) dias do fim do período do recebimento provisório, após a verificação da qualidade e quantidade do material e consequente aceitação mediante termo circunstanciado.</w:t>
      </w:r>
    </w:p>
    <w:p w14:paraId="02D6A699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FC1E6E3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4CC39238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05CD5393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10BF117" w14:textId="77777777" w:rsidR="00E05499" w:rsidRDefault="00E05499" w:rsidP="00E05499">
      <w:pPr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5.4.1.</w:t>
      </w:r>
      <w:r>
        <w:rPr>
          <w:rFonts w:ascii="Arial" w:hAnsi="Arial" w:cs="Arial"/>
          <w:bCs/>
        </w:rPr>
        <w:tab/>
        <w:t>Na hipótese de a verificação a que se refere o subitem anterior não ser procedida dentro do prazo fixado, reputar-se-á como realizada, consumando-se o recebimento definitivo no dia do esgotamento do prazo.</w:t>
      </w:r>
    </w:p>
    <w:p w14:paraId="322CCC28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BA0FB56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69D70627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5.5.</w:t>
      </w:r>
      <w:r>
        <w:rPr>
          <w:rFonts w:ascii="Arial" w:hAnsi="Arial" w:cs="Arial"/>
          <w:bCs/>
        </w:rPr>
        <w:tab/>
        <w:t>O recebimento provisório ou definitivo do objeto não exclui a responsabilidade da empresa fornecedora pelos prejuízos resultantes da incorreta execução da obrigação.</w:t>
      </w:r>
    </w:p>
    <w:p w14:paraId="7914065E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10453C30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4B22B09D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ab/>
        <w:t>DAS OBRIGAÇÕES DO HOSPITAL</w:t>
      </w:r>
    </w:p>
    <w:p w14:paraId="0CDE5333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482A8F0A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</w:t>
      </w:r>
      <w:r>
        <w:rPr>
          <w:rFonts w:ascii="Arial" w:hAnsi="Arial" w:cs="Arial"/>
          <w:bCs/>
        </w:rPr>
        <w:tab/>
        <w:t>São obrigações do Hospital:</w:t>
      </w:r>
    </w:p>
    <w:p w14:paraId="23BE3F5D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4918643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6.1.1.</w:t>
      </w:r>
      <w:r>
        <w:rPr>
          <w:rFonts w:ascii="Arial" w:hAnsi="Arial" w:cs="Arial"/>
          <w:bCs/>
        </w:rPr>
        <w:tab/>
        <w:t>Receber o objeto(s)/bem(</w:t>
      </w:r>
      <w:proofErr w:type="spellStart"/>
      <w:r>
        <w:rPr>
          <w:rFonts w:ascii="Arial" w:hAnsi="Arial" w:cs="Arial"/>
          <w:bCs/>
        </w:rPr>
        <w:t>ns</w:t>
      </w:r>
      <w:proofErr w:type="spellEnd"/>
      <w:r>
        <w:rPr>
          <w:rFonts w:ascii="Arial" w:hAnsi="Arial" w:cs="Arial"/>
          <w:bCs/>
        </w:rPr>
        <w:t xml:space="preserve">) no prazo e condições estabelecidas no Ato de Convocação e/ou Termo de </w:t>
      </w:r>
      <w:proofErr w:type="spellStart"/>
      <w:proofErr w:type="gramStart"/>
      <w:r>
        <w:rPr>
          <w:rFonts w:ascii="Arial" w:hAnsi="Arial" w:cs="Arial"/>
          <w:bCs/>
        </w:rPr>
        <w:t>Referencia</w:t>
      </w:r>
      <w:proofErr w:type="spellEnd"/>
      <w:proofErr w:type="gramEnd"/>
      <w:r>
        <w:rPr>
          <w:rFonts w:ascii="Arial" w:hAnsi="Arial" w:cs="Arial"/>
          <w:bCs/>
        </w:rPr>
        <w:t xml:space="preserve"> de Aquisição e/ou Memorial Descritivo e eventuais anexos;</w:t>
      </w:r>
    </w:p>
    <w:p w14:paraId="6DD88A02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27336E7B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6.1.2.</w:t>
      </w:r>
      <w:r>
        <w:rPr>
          <w:rFonts w:ascii="Arial" w:hAnsi="Arial" w:cs="Arial"/>
          <w:bCs/>
        </w:rPr>
        <w:tab/>
        <w:t xml:space="preserve">Verificar minuciosamente, no prazo fixado, a conformidade dos bens recebidos provisoriamente com as especificações constantes do Termo de </w:t>
      </w:r>
      <w:proofErr w:type="spellStart"/>
      <w:proofErr w:type="gramStart"/>
      <w:r>
        <w:rPr>
          <w:rFonts w:ascii="Arial" w:hAnsi="Arial" w:cs="Arial"/>
          <w:bCs/>
        </w:rPr>
        <w:t>Referencia</w:t>
      </w:r>
      <w:proofErr w:type="spellEnd"/>
      <w:proofErr w:type="gramEnd"/>
      <w:r>
        <w:rPr>
          <w:rFonts w:ascii="Arial" w:hAnsi="Arial" w:cs="Arial"/>
          <w:bCs/>
        </w:rPr>
        <w:t xml:space="preserve"> e da proposta, para fins de aceitação e recebimento definitivo;</w:t>
      </w:r>
    </w:p>
    <w:p w14:paraId="7B2232FB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6A0AC044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6.1.3.</w:t>
      </w:r>
      <w:r>
        <w:rPr>
          <w:rFonts w:ascii="Arial" w:hAnsi="Arial" w:cs="Arial"/>
          <w:bCs/>
        </w:rPr>
        <w:tab/>
        <w:t>Comunicar formalmente à empresa vencedora, sobre imperfeições, falhas ou irregularidades verificadas no objeto/bem fornecido, para que seja substituído, reparado ou corrigido;</w:t>
      </w:r>
    </w:p>
    <w:p w14:paraId="397EDEEC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533AE4FE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6.1.4.</w:t>
      </w:r>
      <w:r>
        <w:rPr>
          <w:rFonts w:ascii="Arial" w:hAnsi="Arial" w:cs="Arial"/>
          <w:bCs/>
        </w:rPr>
        <w:tab/>
        <w:t>Acompanhar e fiscalizar o cumprimento das obrigações da empresa vencedora;</w:t>
      </w:r>
    </w:p>
    <w:p w14:paraId="156FB546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7989FF77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6.1.5.</w:t>
      </w:r>
      <w:r>
        <w:rPr>
          <w:rFonts w:ascii="Arial" w:hAnsi="Arial" w:cs="Arial"/>
          <w:bCs/>
        </w:rPr>
        <w:tab/>
        <w:t>Efetuar o pagamento à empresa vencedora no valor correspondente ao fornecimento do objeto, no prazo e forma estabelecidos.</w:t>
      </w:r>
    </w:p>
    <w:p w14:paraId="3E1A6B8C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169CA251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 – O Hospital não responderá por quaisquer compromissos assumidos pela empresa vencedora com terceiros, ainda que vinculados à execução do presente termo, bem como por qualquer dano causado a terceiros em decorrência de ato da empresa fornecedora, de seus empregados, prepostos ou subordinados.</w:t>
      </w:r>
    </w:p>
    <w:p w14:paraId="120BC9B5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6945D4C8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3700E70E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7.</w:t>
      </w:r>
      <w:r>
        <w:rPr>
          <w:rFonts w:ascii="Arial" w:hAnsi="Arial" w:cs="Arial"/>
          <w:bCs/>
        </w:rPr>
        <w:tab/>
        <w:t>OBRIGAÇÕES DA EMPRESA FORNECEDORA</w:t>
      </w:r>
    </w:p>
    <w:p w14:paraId="38ACDB3A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5A63236D" w14:textId="77777777" w:rsidR="00E05499" w:rsidRDefault="00E05499" w:rsidP="00E054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7.1.</w:t>
      </w:r>
      <w:r>
        <w:rPr>
          <w:rFonts w:ascii="Arial" w:hAnsi="Arial" w:cs="Arial"/>
          <w:bCs/>
        </w:rPr>
        <w:tab/>
        <w:t xml:space="preserve">Cumprir todas as obrigações constantes no Termo de </w:t>
      </w:r>
      <w:proofErr w:type="spellStart"/>
      <w:proofErr w:type="gramStart"/>
      <w:r>
        <w:rPr>
          <w:rFonts w:ascii="Arial" w:hAnsi="Arial" w:cs="Arial"/>
          <w:bCs/>
        </w:rPr>
        <w:t>Referencia</w:t>
      </w:r>
      <w:proofErr w:type="spellEnd"/>
      <w:proofErr w:type="gramEnd"/>
      <w:r>
        <w:rPr>
          <w:rFonts w:ascii="Arial" w:hAnsi="Arial" w:cs="Arial"/>
          <w:bCs/>
        </w:rPr>
        <w:t xml:space="preserve"> de Aquisição e eventuais anexos, assumindo como exclusivamente seus os riscos e as despesas decorrentes da boa e perfeita execução do objeto e, ainda:</w:t>
      </w:r>
    </w:p>
    <w:p w14:paraId="2852E0E5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0E8A71EF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0418EE6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7.1.1. Efetuar a entrega do objeto em perfeitas condições, conforme especificações, prazo e local constantes no Termo de </w:t>
      </w:r>
      <w:proofErr w:type="spellStart"/>
      <w:proofErr w:type="gramStart"/>
      <w:r>
        <w:rPr>
          <w:rFonts w:ascii="Arial" w:hAnsi="Arial" w:cs="Arial"/>
          <w:bCs/>
        </w:rPr>
        <w:t>Referencia</w:t>
      </w:r>
      <w:proofErr w:type="spellEnd"/>
      <w:proofErr w:type="gramEnd"/>
      <w:r>
        <w:rPr>
          <w:rFonts w:ascii="Arial" w:hAnsi="Arial" w:cs="Arial"/>
          <w:bCs/>
        </w:rPr>
        <w:t xml:space="preserve"> de Aquisição, Ato Convocatório e eventuais anexos, acompanhamento da respectiva nota fiscal, na qual constarão as indicações referentes a: marca, fabricante, modelo, procedência e prazo de garantia ou validade.</w:t>
      </w:r>
    </w:p>
    <w:p w14:paraId="1E140CC9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</w:p>
    <w:p w14:paraId="023B3EFC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</w:p>
    <w:p w14:paraId="35EBF35C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</w:p>
    <w:p w14:paraId="37E3D18A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7.1.2. Sempre que possível, o objeto deve estar acompanhado do manual do usuário, com uma versão em português e da relação da rede de assistência técnica autorizada, quando for o caso.</w:t>
      </w:r>
    </w:p>
    <w:p w14:paraId="39EA5FB1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</w:p>
    <w:p w14:paraId="6F65EADB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7.1.3. Responsabilizar-se pelos vícios e danos decorrentes do objeto, de acordo com os artigos 12, 13 e 17 a 27, do Código de Defesa do Consumidor.</w:t>
      </w:r>
    </w:p>
    <w:p w14:paraId="33EFC06E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</w:p>
    <w:p w14:paraId="0FB612F5" w14:textId="77777777" w:rsidR="00E05499" w:rsidRDefault="00E05499" w:rsidP="00E05499">
      <w:pPr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7.1.4. Substituir, reparar ou corrigir, às suas expensas, no prazo fixado neste Termo de Referência, o objeto com avarias ou defeitos.</w:t>
      </w:r>
    </w:p>
    <w:p w14:paraId="5701F00F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00634BFD" w14:textId="77777777" w:rsidR="00E05499" w:rsidRDefault="00E05499" w:rsidP="00E05499">
      <w:pPr>
        <w:jc w:val="both"/>
        <w:rPr>
          <w:rFonts w:ascii="Arial" w:hAnsi="Arial" w:cs="Arial"/>
          <w:bCs/>
        </w:rPr>
      </w:pPr>
    </w:p>
    <w:p w14:paraId="7C66E8E5" w14:textId="77777777" w:rsidR="00E05499" w:rsidRDefault="00E05499" w:rsidP="00E05499">
      <w:pPr>
        <w:ind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ab/>
        <w:t>DAS SANÇÕES ADMINISTRATIVAS</w:t>
      </w:r>
    </w:p>
    <w:p w14:paraId="13019E0B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4018CFCE" w14:textId="77777777" w:rsidR="00E05499" w:rsidRDefault="00E05499" w:rsidP="00E054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8.1 – As seguintes infrações, se cometidas pela empresa fornecedora, serão passíveis de sanções:</w:t>
      </w:r>
    </w:p>
    <w:p w14:paraId="12E8FA70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0EDC640C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8.1.1 - </w:t>
      </w:r>
      <w:proofErr w:type="spellStart"/>
      <w:proofErr w:type="gramStart"/>
      <w:r>
        <w:rPr>
          <w:rFonts w:ascii="Arial" w:eastAsia="Arial" w:hAnsi="Arial" w:cs="Arial"/>
        </w:rPr>
        <w:t>inexecutar</w:t>
      </w:r>
      <w:proofErr w:type="spellEnd"/>
      <w:proofErr w:type="gramEnd"/>
      <w:r>
        <w:rPr>
          <w:rFonts w:ascii="Arial" w:eastAsia="Arial" w:hAnsi="Arial" w:cs="Arial"/>
        </w:rPr>
        <w:t xml:space="preserve"> total ou parcialmente qualquer das obrigações assumidas em decorrência do fornecimento;</w:t>
      </w:r>
    </w:p>
    <w:p w14:paraId="37F6CD2B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8.1.2 - </w:t>
      </w:r>
      <w:proofErr w:type="gramStart"/>
      <w:r>
        <w:rPr>
          <w:rFonts w:ascii="Arial" w:eastAsia="Arial" w:hAnsi="Arial" w:cs="Arial"/>
        </w:rPr>
        <w:t>ensejar</w:t>
      </w:r>
      <w:proofErr w:type="gramEnd"/>
      <w:r>
        <w:rPr>
          <w:rFonts w:ascii="Arial" w:eastAsia="Arial" w:hAnsi="Arial" w:cs="Arial"/>
        </w:rPr>
        <w:t xml:space="preserve"> o retardamento da execução do objeto;</w:t>
      </w:r>
    </w:p>
    <w:p w14:paraId="1229B5ED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8.1.3 - </w:t>
      </w:r>
      <w:proofErr w:type="gramStart"/>
      <w:r>
        <w:rPr>
          <w:rFonts w:ascii="Arial" w:eastAsia="Arial" w:hAnsi="Arial" w:cs="Arial"/>
        </w:rPr>
        <w:t>fraudar</w:t>
      </w:r>
      <w:proofErr w:type="gramEnd"/>
      <w:r>
        <w:rPr>
          <w:rFonts w:ascii="Arial" w:eastAsia="Arial" w:hAnsi="Arial" w:cs="Arial"/>
        </w:rPr>
        <w:t xml:space="preserve"> a execução do compromisso de fornecimento;</w:t>
      </w:r>
    </w:p>
    <w:p w14:paraId="65350DA0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8.1.4 - </w:t>
      </w:r>
      <w:proofErr w:type="gramStart"/>
      <w:r>
        <w:rPr>
          <w:rFonts w:ascii="Arial" w:eastAsia="Arial" w:hAnsi="Arial" w:cs="Arial"/>
        </w:rPr>
        <w:t>comportar-se</w:t>
      </w:r>
      <w:proofErr w:type="gramEnd"/>
      <w:r>
        <w:rPr>
          <w:rFonts w:ascii="Arial" w:eastAsia="Arial" w:hAnsi="Arial" w:cs="Arial"/>
        </w:rPr>
        <w:t xml:space="preserve"> de modo inidôneo;</w:t>
      </w:r>
    </w:p>
    <w:p w14:paraId="3F58ACBC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8.1.5 - </w:t>
      </w:r>
      <w:proofErr w:type="gramStart"/>
      <w:r>
        <w:rPr>
          <w:rFonts w:ascii="Arial" w:eastAsia="Arial" w:hAnsi="Arial" w:cs="Arial"/>
        </w:rPr>
        <w:t>cometer</w:t>
      </w:r>
      <w:proofErr w:type="gramEnd"/>
      <w:r>
        <w:rPr>
          <w:rFonts w:ascii="Arial" w:eastAsia="Arial" w:hAnsi="Arial" w:cs="Arial"/>
        </w:rPr>
        <w:t xml:space="preserve"> fraude fiscal;</w:t>
      </w:r>
    </w:p>
    <w:p w14:paraId="47E77A91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8.1.6 - </w:t>
      </w:r>
      <w:proofErr w:type="gramStart"/>
      <w:r>
        <w:rPr>
          <w:rFonts w:ascii="Arial" w:eastAsia="Arial" w:hAnsi="Arial" w:cs="Arial"/>
        </w:rPr>
        <w:t>não</w:t>
      </w:r>
      <w:proofErr w:type="gramEnd"/>
      <w:r>
        <w:rPr>
          <w:rFonts w:ascii="Arial" w:eastAsia="Arial" w:hAnsi="Arial" w:cs="Arial"/>
        </w:rPr>
        <w:t xml:space="preserve"> mantiver a proposta.</w:t>
      </w:r>
    </w:p>
    <w:p w14:paraId="1655F774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</w:p>
    <w:p w14:paraId="7B02CA65" w14:textId="77777777" w:rsidR="00E05499" w:rsidRDefault="00E05499" w:rsidP="00E054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8.2 - A Fornecedora que cometer qualquer das infrações discriminadas no item 8.1 e seguintes ficará sujeita, sem prejuízo da responsabilidade civil e criminal, às seguintes sanções:</w:t>
      </w:r>
    </w:p>
    <w:p w14:paraId="351B79CE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7A1CAA13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8.2.1 - </w:t>
      </w:r>
      <w:proofErr w:type="gramStart"/>
      <w:r>
        <w:rPr>
          <w:rFonts w:ascii="Arial" w:eastAsia="Arial" w:hAnsi="Arial" w:cs="Arial"/>
        </w:rPr>
        <w:t>advertência</w:t>
      </w:r>
      <w:proofErr w:type="gramEnd"/>
      <w:r>
        <w:rPr>
          <w:rFonts w:ascii="Arial" w:eastAsia="Arial" w:hAnsi="Arial" w:cs="Arial"/>
        </w:rPr>
        <w:t xml:space="preserve"> por faltas leves, assim entendidas aquelas que não acarretem prejuízos significativos para o Hospital;</w:t>
      </w:r>
    </w:p>
    <w:p w14:paraId="38B59DBA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</w:p>
    <w:p w14:paraId="2A70C81B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8.2.2 - </w:t>
      </w:r>
      <w:proofErr w:type="gramStart"/>
      <w:r>
        <w:rPr>
          <w:rFonts w:ascii="Arial" w:eastAsia="Arial" w:hAnsi="Arial" w:cs="Arial"/>
        </w:rPr>
        <w:t>multa</w:t>
      </w:r>
      <w:proofErr w:type="gramEnd"/>
      <w:r>
        <w:rPr>
          <w:rFonts w:ascii="Arial" w:eastAsia="Arial" w:hAnsi="Arial" w:cs="Arial"/>
        </w:rPr>
        <w:t xml:space="preserve"> moratória de até 2% (dois por cento) por dia de atraso injustificado sobre o valor total do contrato/fornecimento, até o limite de 30 (trinta) dias, após o que ensejará a rescisão contratual, sem prejuízo da aplicação das correspondentes penalidades oriundas da rescisão;</w:t>
      </w:r>
    </w:p>
    <w:p w14:paraId="43B97DFD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</w:p>
    <w:p w14:paraId="3E232602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8.2.3 - </w:t>
      </w:r>
      <w:proofErr w:type="gramStart"/>
      <w:r>
        <w:rPr>
          <w:rFonts w:ascii="Arial" w:eastAsia="Arial" w:hAnsi="Arial" w:cs="Arial"/>
        </w:rPr>
        <w:t>multa</w:t>
      </w:r>
      <w:proofErr w:type="gramEnd"/>
      <w:r>
        <w:rPr>
          <w:rFonts w:ascii="Arial" w:eastAsia="Arial" w:hAnsi="Arial" w:cs="Arial"/>
        </w:rPr>
        <w:t xml:space="preserve"> de 10% (dez por cento) sobre o valor total do contrato/fornecimento, no caso de inexecução total do objeto;</w:t>
      </w:r>
    </w:p>
    <w:p w14:paraId="6575DF0F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</w:p>
    <w:p w14:paraId="75FB3576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8.2.3.1 em caso de inexecução parcial, a multa, no mesmo percentual do subitem acima, será aplicada de forma proporcional à obrigação inadimplida.</w:t>
      </w:r>
    </w:p>
    <w:p w14:paraId="413EE91A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</w:p>
    <w:p w14:paraId="25816064" w14:textId="77777777" w:rsidR="00E05499" w:rsidRDefault="00E05499" w:rsidP="00E05499">
      <w:pPr>
        <w:ind w:left="567"/>
        <w:jc w:val="both"/>
        <w:rPr>
          <w:rFonts w:ascii="Arial" w:eastAsia="Arial" w:hAnsi="Arial" w:cs="Arial"/>
        </w:rPr>
      </w:pPr>
    </w:p>
    <w:p w14:paraId="6F5B9CEA" w14:textId="03A43843" w:rsidR="00E05499" w:rsidRDefault="00E05499" w:rsidP="00E0549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Santo André, 28 de outubro de 2022</w:t>
      </w:r>
    </w:p>
    <w:p w14:paraId="289FACE1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10B7EE8F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7B47ADFA" w14:textId="77777777" w:rsidR="00E05499" w:rsidRDefault="00E05499" w:rsidP="00E05499">
      <w:pPr>
        <w:jc w:val="both"/>
        <w:rPr>
          <w:rFonts w:ascii="Arial" w:eastAsia="Arial" w:hAnsi="Arial" w:cs="Arial"/>
        </w:rPr>
      </w:pPr>
    </w:p>
    <w:p w14:paraId="07EA3B59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</w:p>
    <w:p w14:paraId="3FF36B9F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</w:p>
    <w:p w14:paraId="787485A1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</w:p>
    <w:p w14:paraId="29376DA5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</w:p>
    <w:p w14:paraId="4E762C08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</w:p>
    <w:p w14:paraId="268407A0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</w:p>
    <w:p w14:paraId="32253B00" w14:textId="77777777" w:rsidR="00E05499" w:rsidRDefault="00E05499" w:rsidP="00E05499">
      <w:pPr>
        <w:tabs>
          <w:tab w:val="left" w:pos="344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5955397A" w14:textId="77777777" w:rsidR="00E05499" w:rsidRDefault="00E05499" w:rsidP="00E054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Mateus Valério da Silva</w:t>
      </w:r>
    </w:p>
    <w:p w14:paraId="358AEC4A" w14:textId="77777777" w:rsidR="00E05499" w:rsidRDefault="00E05499" w:rsidP="00E054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Engenharia Hospitalar</w:t>
      </w:r>
    </w:p>
    <w:p w14:paraId="2D97AD19" w14:textId="77777777" w:rsidR="00E05499" w:rsidRDefault="00E05499" w:rsidP="00E05499">
      <w:pPr>
        <w:spacing w:line="276" w:lineRule="auto"/>
        <w:jc w:val="right"/>
        <w:rPr>
          <w:rFonts w:ascii="Arial" w:hAnsi="Arial" w:cs="Arial"/>
        </w:rPr>
      </w:pPr>
    </w:p>
    <w:p w14:paraId="2ED8663C" w14:textId="77777777" w:rsidR="00E05499" w:rsidRDefault="00E05499" w:rsidP="00E05499">
      <w:pPr>
        <w:spacing w:line="276" w:lineRule="auto"/>
        <w:jc w:val="right"/>
        <w:rPr>
          <w:rFonts w:ascii="Arial" w:hAnsi="Arial" w:cs="Arial"/>
        </w:rPr>
      </w:pPr>
    </w:p>
    <w:p w14:paraId="3ED6D095" w14:textId="77777777" w:rsidR="00E05499" w:rsidRDefault="00E05499" w:rsidP="00E05499">
      <w:pPr>
        <w:jc w:val="right"/>
        <w:rPr>
          <w:rFonts w:ascii="Arial" w:hAnsi="Arial" w:cs="Arial"/>
          <w:bCs/>
        </w:rPr>
      </w:pPr>
    </w:p>
    <w:p w14:paraId="520CB43A" w14:textId="77777777" w:rsidR="00E05499" w:rsidRDefault="00E05499" w:rsidP="00E05499">
      <w:pPr>
        <w:jc w:val="right"/>
        <w:rPr>
          <w:rFonts w:ascii="Arial" w:hAnsi="Arial" w:cs="Arial"/>
          <w:bCs/>
        </w:rPr>
      </w:pPr>
    </w:p>
    <w:p w14:paraId="4C6AF594" w14:textId="77777777" w:rsidR="00E05499" w:rsidRDefault="00E05499" w:rsidP="00E05499">
      <w:pPr>
        <w:jc w:val="right"/>
        <w:rPr>
          <w:rFonts w:ascii="Arial" w:hAnsi="Arial" w:cs="Arial"/>
          <w:bCs/>
        </w:rPr>
      </w:pPr>
    </w:p>
    <w:p w14:paraId="3E5C06CF" w14:textId="77777777" w:rsidR="00E05499" w:rsidRDefault="00E05499" w:rsidP="00E05499">
      <w:pPr>
        <w:rPr>
          <w:rFonts w:ascii="Arial" w:hAnsi="Arial" w:cs="Arial"/>
        </w:rPr>
      </w:pPr>
    </w:p>
    <w:p w14:paraId="6B7DF715" w14:textId="77777777" w:rsidR="00E05499" w:rsidRDefault="00E05499" w:rsidP="00E05499">
      <w:pPr>
        <w:rPr>
          <w:rFonts w:ascii="Arial" w:hAnsi="Arial" w:cs="Arial"/>
        </w:rPr>
      </w:pPr>
    </w:p>
    <w:p w14:paraId="5A7CD032" w14:textId="77777777" w:rsidR="00E05499" w:rsidRDefault="00E05499" w:rsidP="00E05499">
      <w:pPr>
        <w:rPr>
          <w:rFonts w:ascii="Arial" w:hAnsi="Arial" w:cs="Arial"/>
        </w:rPr>
      </w:pPr>
    </w:p>
    <w:p w14:paraId="014BF9D7" w14:textId="77777777" w:rsidR="00E05499" w:rsidRDefault="00E05499" w:rsidP="00E05499">
      <w:pPr>
        <w:rPr>
          <w:rFonts w:ascii="Arial" w:hAnsi="Arial" w:cs="Arial"/>
        </w:rPr>
      </w:pPr>
    </w:p>
    <w:p w14:paraId="5ABC6141" w14:textId="77777777" w:rsidR="00E05499" w:rsidRDefault="00E05499" w:rsidP="00E05499">
      <w:pPr>
        <w:rPr>
          <w:rFonts w:ascii="Arial" w:hAnsi="Arial" w:cs="Arial"/>
        </w:rPr>
      </w:pPr>
    </w:p>
    <w:p w14:paraId="07EBE4A4" w14:textId="77777777" w:rsidR="00E05499" w:rsidRDefault="00E05499" w:rsidP="00E05499">
      <w:pPr>
        <w:rPr>
          <w:rFonts w:ascii="Arial" w:hAnsi="Arial" w:cs="Arial"/>
        </w:rPr>
      </w:pPr>
    </w:p>
    <w:p w14:paraId="7FAF2757" w14:textId="77777777" w:rsidR="00E05499" w:rsidRDefault="00E05499" w:rsidP="00E05499">
      <w:pPr>
        <w:rPr>
          <w:rFonts w:ascii="Arial" w:hAnsi="Arial" w:cs="Arial"/>
        </w:rPr>
      </w:pPr>
    </w:p>
    <w:p w14:paraId="7D85248B" w14:textId="77777777" w:rsidR="00E05499" w:rsidRDefault="00E05499" w:rsidP="00E05499">
      <w:pPr>
        <w:rPr>
          <w:rFonts w:ascii="Arial" w:hAnsi="Arial" w:cs="Arial"/>
        </w:rPr>
      </w:pPr>
    </w:p>
    <w:p w14:paraId="77D7F715" w14:textId="77777777" w:rsidR="00E05499" w:rsidRDefault="00E05499" w:rsidP="00E05499">
      <w:pPr>
        <w:rPr>
          <w:rFonts w:ascii="Arial" w:hAnsi="Arial" w:cs="Arial"/>
        </w:rPr>
      </w:pPr>
    </w:p>
    <w:p w14:paraId="332ED3F2" w14:textId="77777777" w:rsidR="00E05499" w:rsidRDefault="00E05499" w:rsidP="00E05499">
      <w:pPr>
        <w:rPr>
          <w:rFonts w:ascii="Arial" w:hAnsi="Arial" w:cs="Arial"/>
        </w:rPr>
      </w:pPr>
    </w:p>
    <w:p w14:paraId="2685B35F" w14:textId="77777777" w:rsidR="00E05499" w:rsidRDefault="00E05499" w:rsidP="00E05499">
      <w:pPr>
        <w:rPr>
          <w:rFonts w:ascii="Arial" w:hAnsi="Arial" w:cs="Arial"/>
        </w:rPr>
      </w:pPr>
    </w:p>
    <w:p w14:paraId="723F0FC9" w14:textId="77777777" w:rsidR="00E05499" w:rsidRDefault="00E05499" w:rsidP="00E05499">
      <w:pPr>
        <w:rPr>
          <w:rFonts w:ascii="Arial" w:hAnsi="Arial" w:cs="Arial"/>
        </w:rPr>
      </w:pPr>
    </w:p>
    <w:p w14:paraId="784D8EC6" w14:textId="77777777" w:rsidR="00E05499" w:rsidRDefault="00E05499" w:rsidP="00E05499">
      <w:pPr>
        <w:rPr>
          <w:rFonts w:ascii="Arial" w:hAnsi="Arial" w:cs="Arial"/>
        </w:rPr>
      </w:pPr>
    </w:p>
    <w:p w14:paraId="526B2C67" w14:textId="77777777" w:rsidR="00E05499" w:rsidRDefault="00E05499" w:rsidP="00E05499">
      <w:pPr>
        <w:rPr>
          <w:rFonts w:ascii="Arial" w:hAnsi="Arial" w:cs="Arial"/>
        </w:rPr>
      </w:pPr>
    </w:p>
    <w:p w14:paraId="7493499A" w14:textId="77777777" w:rsidR="00E05499" w:rsidRDefault="00E05499" w:rsidP="00E05499">
      <w:pPr>
        <w:rPr>
          <w:rFonts w:ascii="Arial" w:hAnsi="Arial" w:cs="Arial"/>
        </w:rPr>
      </w:pPr>
    </w:p>
    <w:p w14:paraId="517B7F26" w14:textId="77777777" w:rsidR="00E05499" w:rsidRDefault="00E05499" w:rsidP="00E05499">
      <w:pPr>
        <w:rPr>
          <w:rFonts w:ascii="Arial" w:hAnsi="Arial" w:cs="Arial"/>
        </w:rPr>
      </w:pPr>
    </w:p>
    <w:p w14:paraId="09C9A55B" w14:textId="77777777" w:rsidR="00E05499" w:rsidRDefault="00E05499" w:rsidP="00E05499">
      <w:pPr>
        <w:rPr>
          <w:rFonts w:ascii="Arial" w:hAnsi="Arial" w:cs="Arial"/>
        </w:rPr>
      </w:pPr>
    </w:p>
    <w:p w14:paraId="17D951A7" w14:textId="77777777" w:rsidR="00E05499" w:rsidRDefault="00E05499" w:rsidP="00E05499">
      <w:pPr>
        <w:rPr>
          <w:rFonts w:ascii="Arial" w:hAnsi="Arial" w:cs="Arial"/>
        </w:rPr>
      </w:pPr>
    </w:p>
    <w:p w14:paraId="071E32FC" w14:textId="77777777" w:rsidR="00E05499" w:rsidRDefault="00E05499" w:rsidP="00E05499">
      <w:pPr>
        <w:rPr>
          <w:rFonts w:ascii="Arial" w:hAnsi="Arial" w:cs="Arial"/>
        </w:rPr>
      </w:pPr>
    </w:p>
    <w:p w14:paraId="2C96B3AE" w14:textId="77777777" w:rsidR="00E05499" w:rsidRDefault="00E05499" w:rsidP="00E05499">
      <w:pPr>
        <w:rPr>
          <w:rFonts w:ascii="Arial" w:hAnsi="Arial" w:cs="Arial"/>
        </w:rPr>
      </w:pPr>
    </w:p>
    <w:p w14:paraId="2C77F4A7" w14:textId="77777777" w:rsidR="00E05499" w:rsidRDefault="00E05499" w:rsidP="00E05499">
      <w:pPr>
        <w:rPr>
          <w:rFonts w:ascii="Arial" w:hAnsi="Arial" w:cs="Arial"/>
        </w:rPr>
      </w:pPr>
    </w:p>
    <w:p w14:paraId="10F1675D" w14:textId="77777777" w:rsidR="00E05499" w:rsidRDefault="00E05499" w:rsidP="00E05499">
      <w:pPr>
        <w:rPr>
          <w:rFonts w:ascii="Arial" w:hAnsi="Arial" w:cs="Arial"/>
        </w:rPr>
      </w:pPr>
    </w:p>
    <w:p w14:paraId="18171335" w14:textId="77777777" w:rsidR="00E05499" w:rsidRDefault="00E05499" w:rsidP="00E05499">
      <w:pPr>
        <w:rPr>
          <w:rFonts w:ascii="Arial" w:hAnsi="Arial" w:cs="Arial"/>
        </w:rPr>
      </w:pPr>
    </w:p>
    <w:p w14:paraId="4848A97A" w14:textId="77777777" w:rsidR="00E05499" w:rsidRDefault="00E05499" w:rsidP="00E05499">
      <w:pPr>
        <w:rPr>
          <w:rFonts w:ascii="Arial" w:hAnsi="Arial" w:cs="Arial"/>
        </w:rPr>
      </w:pPr>
    </w:p>
    <w:p w14:paraId="269A8344" w14:textId="77777777" w:rsidR="00E05499" w:rsidRDefault="00E05499" w:rsidP="00E05499">
      <w:pPr>
        <w:rPr>
          <w:rFonts w:ascii="Arial" w:hAnsi="Arial" w:cs="Arial"/>
        </w:rPr>
      </w:pPr>
    </w:p>
    <w:p w14:paraId="10AA884B" w14:textId="77777777" w:rsidR="00E05499" w:rsidRDefault="00E05499" w:rsidP="00E05499">
      <w:pPr>
        <w:rPr>
          <w:rFonts w:ascii="Arial" w:hAnsi="Arial" w:cs="Arial"/>
        </w:rPr>
      </w:pPr>
    </w:p>
    <w:p w14:paraId="793B6EBF" w14:textId="77777777" w:rsidR="00E05499" w:rsidRDefault="00E05499" w:rsidP="00E05499">
      <w:pPr>
        <w:rPr>
          <w:rFonts w:ascii="Arial" w:hAnsi="Arial" w:cs="Arial"/>
        </w:rPr>
      </w:pPr>
    </w:p>
    <w:p w14:paraId="78149CDB" w14:textId="77777777" w:rsidR="00E05499" w:rsidRDefault="00E05499" w:rsidP="00E05499">
      <w:pPr>
        <w:rPr>
          <w:rFonts w:ascii="Arial" w:hAnsi="Arial" w:cs="Arial"/>
        </w:rPr>
      </w:pPr>
    </w:p>
    <w:p w14:paraId="49D266FC" w14:textId="77777777" w:rsidR="00E05499" w:rsidRDefault="00E05499" w:rsidP="00E05499">
      <w:pPr>
        <w:rPr>
          <w:rFonts w:ascii="Arial" w:hAnsi="Arial" w:cs="Arial"/>
        </w:rPr>
      </w:pPr>
    </w:p>
    <w:p w14:paraId="27C59AE7" w14:textId="77777777" w:rsidR="00E05499" w:rsidRDefault="00E05499" w:rsidP="00E05499">
      <w:pPr>
        <w:rPr>
          <w:rFonts w:ascii="Arial" w:hAnsi="Arial" w:cs="Arial"/>
          <w:bCs/>
        </w:rPr>
      </w:pPr>
      <w:r>
        <w:rPr>
          <w:rFonts w:ascii="Arial" w:hAnsi="Arial" w:cs="Arial"/>
        </w:rPr>
        <w:t>Anexo I:</w:t>
      </w:r>
      <w:r>
        <w:rPr>
          <w:rFonts w:ascii="Arial" w:hAnsi="Arial" w:cs="Arial"/>
          <w:bCs/>
        </w:rPr>
        <w:t xml:space="preserve"> APRESENTAÇÃO DA PROPOSTA</w:t>
      </w:r>
    </w:p>
    <w:p w14:paraId="62D46316" w14:textId="77777777" w:rsidR="00E05499" w:rsidRDefault="00E05499" w:rsidP="00E05499">
      <w:pPr>
        <w:rPr>
          <w:rFonts w:ascii="Arial" w:hAnsi="Arial" w:cs="Arial"/>
          <w:bCs/>
        </w:rPr>
      </w:pPr>
    </w:p>
    <w:p w14:paraId="08EA34A9" w14:textId="77777777" w:rsidR="00E05499" w:rsidRDefault="00E05499" w:rsidP="00E05499">
      <w:pPr>
        <w:rPr>
          <w:rFonts w:ascii="Arial" w:eastAsia="Arial" w:hAnsi="Arial" w:cs="Arial"/>
        </w:rPr>
      </w:pPr>
    </w:p>
    <w:p w14:paraId="1BF2FFED" w14:textId="77777777" w:rsidR="00E05499" w:rsidRDefault="00E05499" w:rsidP="00E054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propostas deverão ofertar o valor unitário e o valor total para o fornecimento dos itens descritos, conforme tabela que segue:</w:t>
      </w:r>
    </w:p>
    <w:tbl>
      <w:tblPr>
        <w:tblpPr w:leftFromText="141" w:rightFromText="141" w:vertAnchor="text" w:horzAnchor="page" w:tblpX="964" w:tblpY="733"/>
        <w:tblW w:w="10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095"/>
        <w:gridCol w:w="851"/>
        <w:gridCol w:w="709"/>
        <w:gridCol w:w="850"/>
        <w:gridCol w:w="1282"/>
      </w:tblGrid>
      <w:tr w:rsidR="00E05499" w14:paraId="5E7BDFDC" w14:textId="77777777" w:rsidTr="00696E1A">
        <w:trPr>
          <w:trHeight w:val="2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50FA58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A0D43E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DESCRIÇÃO/ESPECIFICAÇÃO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FB12EF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122E72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8C9A2A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903136E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UNIT.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0D1218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TOTAL</w:t>
            </w:r>
          </w:p>
        </w:tc>
      </w:tr>
      <w:tr w:rsidR="00E05499" w14:paraId="2BD35D70" w14:textId="77777777" w:rsidTr="00696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03"/>
        </w:trPr>
        <w:tc>
          <w:tcPr>
            <w:tcW w:w="779" w:type="dxa"/>
            <w:vAlign w:val="center"/>
          </w:tcPr>
          <w:p w14:paraId="5147DD27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095" w:type="dxa"/>
            <w:vAlign w:val="center"/>
          </w:tcPr>
          <w:p w14:paraId="4CFC0007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Equipamento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Multi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Split (unidade interna e externa)</w:t>
            </w:r>
          </w:p>
          <w:p w14:paraId="7A99E4BB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8D21D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Fabricante: Springer Carrier S.A</w:t>
            </w:r>
          </w:p>
          <w:p w14:paraId="0AD1B03A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26721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Modelo: 38ABA390226S</w:t>
            </w:r>
          </w:p>
          <w:p w14:paraId="3F1B3075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EDFAF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Alimentação: 220V - Trifásico</w:t>
            </w:r>
          </w:p>
          <w:p w14:paraId="6877F49E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04C81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Comando: 220V</w:t>
            </w:r>
          </w:p>
          <w:p w14:paraId="09B3DB6A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53039" w14:textId="77777777" w:rsidR="00E05499" w:rsidRDefault="00E05499" w:rsidP="00696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047D5D3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center"/>
          </w:tcPr>
          <w:p w14:paraId="5EE2AE55" w14:textId="77777777" w:rsidR="00E05499" w:rsidRDefault="00E05499" w:rsidP="00696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946D2F0" w14:textId="77777777" w:rsidR="00E05499" w:rsidRDefault="00E05499" w:rsidP="00696E1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</w:tcPr>
          <w:p w14:paraId="6D17242A" w14:textId="77777777" w:rsidR="00E05499" w:rsidRDefault="00E05499" w:rsidP="00696E1A">
            <w:pPr>
              <w:rPr>
                <w:sz w:val="20"/>
                <w:szCs w:val="20"/>
              </w:rPr>
            </w:pPr>
          </w:p>
        </w:tc>
      </w:tr>
      <w:tr w:rsidR="00E05499" w14:paraId="3117D36E" w14:textId="77777777" w:rsidTr="00696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9284" w:type="dxa"/>
            <w:gridSpan w:val="5"/>
            <w:vAlign w:val="center"/>
          </w:tcPr>
          <w:p w14:paraId="66B46707" w14:textId="77777777" w:rsidR="00E05499" w:rsidRDefault="00E05499" w:rsidP="00696E1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1282" w:type="dxa"/>
            <w:vAlign w:val="center"/>
          </w:tcPr>
          <w:p w14:paraId="31E1737A" w14:textId="77777777" w:rsidR="00E05499" w:rsidRDefault="00E05499" w:rsidP="00696E1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R$</w:t>
            </w:r>
          </w:p>
        </w:tc>
      </w:tr>
    </w:tbl>
    <w:p w14:paraId="7A170111" w14:textId="77777777" w:rsidR="00E05499" w:rsidRDefault="00E05499" w:rsidP="00E05499">
      <w:pPr>
        <w:ind w:left="284"/>
        <w:jc w:val="both"/>
        <w:rPr>
          <w:rFonts w:ascii="Arial" w:hAnsi="Arial" w:cs="Arial"/>
          <w:bCs/>
        </w:rPr>
      </w:pPr>
    </w:p>
    <w:p w14:paraId="5F90EEC5" w14:textId="77777777" w:rsidR="00E05499" w:rsidRDefault="00E05499" w:rsidP="00E05499">
      <w:pPr>
        <w:ind w:left="284"/>
        <w:jc w:val="both"/>
        <w:rPr>
          <w:rFonts w:ascii="Arial" w:hAnsi="Arial" w:cs="Arial"/>
          <w:bCs/>
          <w:color w:val="000000" w:themeColor="text1"/>
        </w:rPr>
      </w:pPr>
    </w:p>
    <w:p w14:paraId="5624F6AC" w14:textId="77777777" w:rsidR="00E05499" w:rsidRDefault="00E05499" w:rsidP="00E05499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i/>
        </w:rPr>
      </w:pPr>
    </w:p>
    <w:tbl>
      <w:tblPr>
        <w:tblpPr w:leftFromText="141" w:rightFromText="141" w:vertAnchor="text" w:horzAnchor="page" w:tblpX="964" w:tblpY="733"/>
        <w:tblW w:w="10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095"/>
        <w:gridCol w:w="851"/>
        <w:gridCol w:w="709"/>
        <w:gridCol w:w="850"/>
        <w:gridCol w:w="1282"/>
      </w:tblGrid>
      <w:tr w:rsidR="00E05499" w14:paraId="398B4911" w14:textId="77777777" w:rsidTr="00696E1A">
        <w:trPr>
          <w:trHeight w:val="2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180F08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058AFC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DESCRIÇÃO/ESPECIFICAÇÃO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B1C0A9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38E870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39F0BF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D5A3FB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UNIT.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00B0CB" w14:textId="77777777" w:rsidR="00E05499" w:rsidRDefault="00E05499" w:rsidP="00696E1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TOTAL</w:t>
            </w:r>
          </w:p>
        </w:tc>
      </w:tr>
    </w:tbl>
    <w:p w14:paraId="59E35000" w14:textId="77777777" w:rsidR="00E2414C" w:rsidRDefault="00E2414C" w:rsidP="00E05499">
      <w:pPr>
        <w:rPr>
          <w:rFonts w:ascii="Arial" w:hAnsi="Arial" w:cs="Arial"/>
          <w:b/>
          <w:bCs/>
        </w:rPr>
      </w:pPr>
    </w:p>
    <w:p w14:paraId="6C69B0D8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2AD1CD2C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5CE4399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59944C77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0C38BAFE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8BE3203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sectPr w:rsidR="00E2414C" w:rsidSect="002E242B">
      <w:headerReference w:type="default" r:id="rId11"/>
      <w:footerReference w:type="default" r:id="rId12"/>
      <w:pgSz w:w="11906" w:h="16838" w:code="9"/>
      <w:pgMar w:top="1843" w:right="707" w:bottom="1418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9676" w14:textId="77777777" w:rsidR="00DC4724" w:rsidRDefault="00DC4724" w:rsidP="007162E6">
      <w:r>
        <w:separator/>
      </w:r>
    </w:p>
  </w:endnote>
  <w:endnote w:type="continuationSeparator" w:id="0">
    <w:p w14:paraId="512ED0C1" w14:textId="77777777" w:rsidR="00DC4724" w:rsidRDefault="00DC4724" w:rsidP="0071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B2C9" w14:textId="77777777" w:rsidR="002E242B" w:rsidRDefault="002E242B" w:rsidP="002E242B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12E6D34" wp14:editId="1D2044DA">
          <wp:simplePos x="0" y="0"/>
          <wp:positionH relativeFrom="column">
            <wp:posOffset>5453380</wp:posOffset>
          </wp:positionH>
          <wp:positionV relativeFrom="paragraph">
            <wp:posOffset>-203835</wp:posOffset>
          </wp:positionV>
          <wp:extent cx="727710" cy="572135"/>
          <wp:effectExtent l="0" t="0" r="0" b="0"/>
          <wp:wrapTight wrapText="bothSides">
            <wp:wrapPolygon edited="0">
              <wp:start x="0" y="0"/>
              <wp:lineTo x="0" y="20857"/>
              <wp:lineTo x="20921" y="20857"/>
              <wp:lineTo x="20921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ç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 xml:space="preserve">Rua Doutor Henrique </w:t>
    </w:r>
    <w:proofErr w:type="spellStart"/>
    <w:r>
      <w:rPr>
        <w:rFonts w:ascii="Verdana" w:hAnsi="Verdana"/>
        <w:sz w:val="16"/>
        <w:szCs w:val="16"/>
      </w:rPr>
      <w:t>Calderazzo</w:t>
    </w:r>
    <w:proofErr w:type="spellEnd"/>
    <w:r>
      <w:rPr>
        <w:rFonts w:ascii="Verdana" w:hAnsi="Verdana"/>
        <w:sz w:val="16"/>
        <w:szCs w:val="16"/>
      </w:rPr>
      <w:t>, 321</w:t>
    </w:r>
    <w:r w:rsidRPr="000C175F">
      <w:rPr>
        <w:rFonts w:ascii="Verdana" w:hAnsi="Verdana"/>
        <w:sz w:val="16"/>
        <w:szCs w:val="16"/>
      </w:rPr>
      <w:t xml:space="preserve"> | CEP </w:t>
    </w:r>
    <w:r>
      <w:rPr>
        <w:rFonts w:ascii="Verdana" w:hAnsi="Verdana"/>
        <w:sz w:val="16"/>
        <w:szCs w:val="16"/>
      </w:rPr>
      <w:t>09190-615</w:t>
    </w:r>
    <w:r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Santo André</w:t>
    </w:r>
    <w:r w:rsidRPr="000C175F">
      <w:rPr>
        <w:rFonts w:ascii="Verdana" w:hAnsi="Verdana"/>
        <w:sz w:val="16"/>
        <w:szCs w:val="16"/>
      </w:rPr>
      <w:t>, SP</w:t>
    </w:r>
  </w:p>
  <w:p w14:paraId="12FAC0AF" w14:textId="77777777" w:rsidR="002E242B" w:rsidRPr="000C175F" w:rsidRDefault="002E242B" w:rsidP="002E242B">
    <w:pPr>
      <w:rPr>
        <w:rFonts w:ascii="Verdana" w:hAnsi="Verdana"/>
        <w:sz w:val="16"/>
        <w:szCs w:val="16"/>
      </w:rPr>
    </w:pPr>
    <w:r w:rsidRPr="000C175F">
      <w:rPr>
        <w:rFonts w:ascii="Verdana" w:hAnsi="Verdana"/>
        <w:sz w:val="16"/>
        <w:szCs w:val="16"/>
      </w:rPr>
      <w:t xml:space="preserve">Fone: (11) </w:t>
    </w:r>
    <w:r>
      <w:rPr>
        <w:rFonts w:ascii="Verdana" w:hAnsi="Verdana"/>
        <w:sz w:val="16"/>
        <w:szCs w:val="16"/>
      </w:rPr>
      <w:t>2829-5000</w:t>
    </w:r>
  </w:p>
  <w:p w14:paraId="38BEB01F" w14:textId="77777777" w:rsidR="002E242B" w:rsidRDefault="002E2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B624" w14:textId="77777777" w:rsidR="00DC4724" w:rsidRDefault="00DC4724" w:rsidP="007162E6">
      <w:r>
        <w:separator/>
      </w:r>
    </w:p>
  </w:footnote>
  <w:footnote w:type="continuationSeparator" w:id="0">
    <w:p w14:paraId="30A33F30" w14:textId="77777777" w:rsidR="00DC4724" w:rsidRDefault="00DC4724" w:rsidP="0071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905841"/>
      <w:docPartObj>
        <w:docPartGallery w:val="Page Numbers (Top of Page)"/>
        <w:docPartUnique/>
      </w:docPartObj>
    </w:sdtPr>
    <w:sdtContent>
      <w:p w14:paraId="6FFBD103" w14:textId="77777777" w:rsidR="00341305" w:rsidRDefault="002E242B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2E089D2B" wp14:editId="1B824F71">
              <wp:simplePos x="0" y="0"/>
              <wp:positionH relativeFrom="page">
                <wp:align>center</wp:align>
              </wp:positionH>
              <wp:positionV relativeFrom="paragraph">
                <wp:posOffset>-248285</wp:posOffset>
              </wp:positionV>
              <wp:extent cx="1257300" cy="960120"/>
              <wp:effectExtent l="0" t="0" r="0" b="0"/>
              <wp:wrapNone/>
              <wp:docPr id="34" name="Imagem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730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8E4B8A" w14:textId="77777777" w:rsidR="00341305" w:rsidRDefault="00341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DCA"/>
    <w:multiLevelType w:val="hybridMultilevel"/>
    <w:tmpl w:val="A210DE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534"/>
    <w:multiLevelType w:val="hybridMultilevel"/>
    <w:tmpl w:val="AA62E50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C32F12"/>
    <w:multiLevelType w:val="hybridMultilevel"/>
    <w:tmpl w:val="BCAE19E2"/>
    <w:lvl w:ilvl="0" w:tplc="32AAEBEA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156D"/>
    <w:multiLevelType w:val="hybridMultilevel"/>
    <w:tmpl w:val="40F6AF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F7ED2"/>
    <w:multiLevelType w:val="multilevel"/>
    <w:tmpl w:val="089A7D1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10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3B8E6926"/>
    <w:multiLevelType w:val="hybridMultilevel"/>
    <w:tmpl w:val="90DE38DA"/>
    <w:lvl w:ilvl="0" w:tplc="D472B1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E7641"/>
    <w:multiLevelType w:val="hybridMultilevel"/>
    <w:tmpl w:val="D13EB9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052"/>
    <w:multiLevelType w:val="hybridMultilevel"/>
    <w:tmpl w:val="ACDCE212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50A51186"/>
    <w:multiLevelType w:val="hybridMultilevel"/>
    <w:tmpl w:val="BC5A7AE0"/>
    <w:lvl w:ilvl="0" w:tplc="E11A63EC">
      <w:start w:val="1"/>
      <w:numFmt w:val="decimal"/>
      <w:lvlText w:val="6.2.%1"/>
      <w:lvlJc w:val="left"/>
      <w:pPr>
        <w:ind w:left="14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F3E0B3F"/>
    <w:multiLevelType w:val="hybridMultilevel"/>
    <w:tmpl w:val="E0F6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4742"/>
    <w:multiLevelType w:val="hybridMultilevel"/>
    <w:tmpl w:val="867E216C"/>
    <w:lvl w:ilvl="0" w:tplc="10F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D3CF6"/>
    <w:multiLevelType w:val="hybridMultilevel"/>
    <w:tmpl w:val="F56A8D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927F65"/>
    <w:multiLevelType w:val="hybridMultilevel"/>
    <w:tmpl w:val="328C7A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408EC"/>
    <w:multiLevelType w:val="hybridMultilevel"/>
    <w:tmpl w:val="DD6AD616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75272761"/>
    <w:multiLevelType w:val="hybridMultilevel"/>
    <w:tmpl w:val="37F885E2"/>
    <w:lvl w:ilvl="0" w:tplc="ADBCB96C">
      <w:start w:val="1"/>
      <w:numFmt w:val="upperRoman"/>
      <w:lvlText w:val="%1."/>
      <w:lvlJc w:val="right"/>
      <w:pPr>
        <w:ind w:left="1146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3397038">
    <w:abstractNumId w:val="10"/>
  </w:num>
  <w:num w:numId="2" w16cid:durableId="1589145877">
    <w:abstractNumId w:val="5"/>
  </w:num>
  <w:num w:numId="3" w16cid:durableId="1120683478">
    <w:abstractNumId w:val="0"/>
  </w:num>
  <w:num w:numId="4" w16cid:durableId="1643582840">
    <w:abstractNumId w:val="13"/>
  </w:num>
  <w:num w:numId="5" w16cid:durableId="1381635517">
    <w:abstractNumId w:val="8"/>
  </w:num>
  <w:num w:numId="6" w16cid:durableId="1372343489">
    <w:abstractNumId w:val="7"/>
  </w:num>
  <w:num w:numId="7" w16cid:durableId="1502815228">
    <w:abstractNumId w:val="9"/>
  </w:num>
  <w:num w:numId="8" w16cid:durableId="131144606">
    <w:abstractNumId w:val="3"/>
  </w:num>
  <w:num w:numId="9" w16cid:durableId="1199783551">
    <w:abstractNumId w:val="11"/>
  </w:num>
  <w:num w:numId="10" w16cid:durableId="1713117710">
    <w:abstractNumId w:val="4"/>
  </w:num>
  <w:num w:numId="11" w16cid:durableId="1367872921">
    <w:abstractNumId w:val="6"/>
  </w:num>
  <w:num w:numId="12" w16cid:durableId="1209998547">
    <w:abstractNumId w:val="12"/>
  </w:num>
  <w:num w:numId="13" w16cid:durableId="17388357">
    <w:abstractNumId w:val="14"/>
  </w:num>
  <w:num w:numId="14" w16cid:durableId="1094088564">
    <w:abstractNumId w:val="1"/>
  </w:num>
  <w:num w:numId="15" w16cid:durableId="182866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D7"/>
    <w:rsid w:val="00033FA4"/>
    <w:rsid w:val="00045346"/>
    <w:rsid w:val="000539AE"/>
    <w:rsid w:val="00072855"/>
    <w:rsid w:val="00090DD9"/>
    <w:rsid w:val="000A0655"/>
    <w:rsid w:val="000C4184"/>
    <w:rsid w:val="000D10EC"/>
    <w:rsid w:val="000D3273"/>
    <w:rsid w:val="000D7131"/>
    <w:rsid w:val="000D757A"/>
    <w:rsid w:val="000D7AC3"/>
    <w:rsid w:val="000E2F9E"/>
    <w:rsid w:val="000E5073"/>
    <w:rsid w:val="00130128"/>
    <w:rsid w:val="00145F44"/>
    <w:rsid w:val="00166890"/>
    <w:rsid w:val="001721DE"/>
    <w:rsid w:val="00173B40"/>
    <w:rsid w:val="001747D5"/>
    <w:rsid w:val="00175ED8"/>
    <w:rsid w:val="001767ED"/>
    <w:rsid w:val="001829FC"/>
    <w:rsid w:val="0018496D"/>
    <w:rsid w:val="00192DAB"/>
    <w:rsid w:val="00195926"/>
    <w:rsid w:val="001A23E3"/>
    <w:rsid w:val="001A4964"/>
    <w:rsid w:val="001A59FB"/>
    <w:rsid w:val="001B05B1"/>
    <w:rsid w:val="001B7FDD"/>
    <w:rsid w:val="001D3ED8"/>
    <w:rsid w:val="001D6AB7"/>
    <w:rsid w:val="001D6F2F"/>
    <w:rsid w:val="001D7DD0"/>
    <w:rsid w:val="001E0B65"/>
    <w:rsid w:val="001E26AC"/>
    <w:rsid w:val="001E3B18"/>
    <w:rsid w:val="001E4B6D"/>
    <w:rsid w:val="001F1A8F"/>
    <w:rsid w:val="002026F2"/>
    <w:rsid w:val="002037E5"/>
    <w:rsid w:val="00212F1D"/>
    <w:rsid w:val="00215697"/>
    <w:rsid w:val="00224288"/>
    <w:rsid w:val="00226DC8"/>
    <w:rsid w:val="00233E9E"/>
    <w:rsid w:val="002400CE"/>
    <w:rsid w:val="00255A0D"/>
    <w:rsid w:val="002678DE"/>
    <w:rsid w:val="002838B6"/>
    <w:rsid w:val="002844F4"/>
    <w:rsid w:val="00287371"/>
    <w:rsid w:val="00294957"/>
    <w:rsid w:val="002965BB"/>
    <w:rsid w:val="002A12EB"/>
    <w:rsid w:val="002A42B3"/>
    <w:rsid w:val="002A55CD"/>
    <w:rsid w:val="002A6DCF"/>
    <w:rsid w:val="002A735D"/>
    <w:rsid w:val="002B7ACB"/>
    <w:rsid w:val="002C1FBA"/>
    <w:rsid w:val="002D4401"/>
    <w:rsid w:val="002E242B"/>
    <w:rsid w:val="002E4019"/>
    <w:rsid w:val="002E690A"/>
    <w:rsid w:val="0030425F"/>
    <w:rsid w:val="003044C0"/>
    <w:rsid w:val="003132F1"/>
    <w:rsid w:val="00320381"/>
    <w:rsid w:val="00322D03"/>
    <w:rsid w:val="00322F3A"/>
    <w:rsid w:val="00331A2C"/>
    <w:rsid w:val="00341305"/>
    <w:rsid w:val="00344425"/>
    <w:rsid w:val="00345D2D"/>
    <w:rsid w:val="0035099B"/>
    <w:rsid w:val="00364AD5"/>
    <w:rsid w:val="00372527"/>
    <w:rsid w:val="003731A7"/>
    <w:rsid w:val="00374AD5"/>
    <w:rsid w:val="003833D0"/>
    <w:rsid w:val="00386A63"/>
    <w:rsid w:val="00392845"/>
    <w:rsid w:val="003951CA"/>
    <w:rsid w:val="00395946"/>
    <w:rsid w:val="00396805"/>
    <w:rsid w:val="003A6A87"/>
    <w:rsid w:val="003A7D51"/>
    <w:rsid w:val="003B4A46"/>
    <w:rsid w:val="003D5E3D"/>
    <w:rsid w:val="003E67DA"/>
    <w:rsid w:val="003F50C0"/>
    <w:rsid w:val="003F5A0C"/>
    <w:rsid w:val="004079AC"/>
    <w:rsid w:val="00415778"/>
    <w:rsid w:val="00442548"/>
    <w:rsid w:val="00451085"/>
    <w:rsid w:val="00470BA8"/>
    <w:rsid w:val="00470C47"/>
    <w:rsid w:val="00476583"/>
    <w:rsid w:val="00483DA4"/>
    <w:rsid w:val="00484D2F"/>
    <w:rsid w:val="0048509A"/>
    <w:rsid w:val="004926A6"/>
    <w:rsid w:val="00495920"/>
    <w:rsid w:val="00496DFE"/>
    <w:rsid w:val="004A361A"/>
    <w:rsid w:val="004A623B"/>
    <w:rsid w:val="004B0EA0"/>
    <w:rsid w:val="004B15E8"/>
    <w:rsid w:val="004B29C8"/>
    <w:rsid w:val="004B2DB2"/>
    <w:rsid w:val="004C0FF4"/>
    <w:rsid w:val="004C54D9"/>
    <w:rsid w:val="004C6AB3"/>
    <w:rsid w:val="004E5F8B"/>
    <w:rsid w:val="004F2C81"/>
    <w:rsid w:val="005041A6"/>
    <w:rsid w:val="00506414"/>
    <w:rsid w:val="00547056"/>
    <w:rsid w:val="00554ADF"/>
    <w:rsid w:val="00561620"/>
    <w:rsid w:val="00573FDD"/>
    <w:rsid w:val="00581761"/>
    <w:rsid w:val="005855E1"/>
    <w:rsid w:val="00587ABA"/>
    <w:rsid w:val="00596BB2"/>
    <w:rsid w:val="005A48F4"/>
    <w:rsid w:val="005C4497"/>
    <w:rsid w:val="005E15A1"/>
    <w:rsid w:val="005E21FF"/>
    <w:rsid w:val="005F1265"/>
    <w:rsid w:val="0061106D"/>
    <w:rsid w:val="00614460"/>
    <w:rsid w:val="006256E2"/>
    <w:rsid w:val="0063042A"/>
    <w:rsid w:val="00631E9A"/>
    <w:rsid w:val="00633414"/>
    <w:rsid w:val="00637E4A"/>
    <w:rsid w:val="006561DE"/>
    <w:rsid w:val="006675B1"/>
    <w:rsid w:val="00673D3D"/>
    <w:rsid w:val="0067672B"/>
    <w:rsid w:val="00676E83"/>
    <w:rsid w:val="006811C4"/>
    <w:rsid w:val="00684DCD"/>
    <w:rsid w:val="00685243"/>
    <w:rsid w:val="00696F2A"/>
    <w:rsid w:val="00696FE6"/>
    <w:rsid w:val="006A33B8"/>
    <w:rsid w:val="006A5AF5"/>
    <w:rsid w:val="006B1D7C"/>
    <w:rsid w:val="006C53A2"/>
    <w:rsid w:val="006E527F"/>
    <w:rsid w:val="006F0667"/>
    <w:rsid w:val="007052A4"/>
    <w:rsid w:val="00705959"/>
    <w:rsid w:val="00706D62"/>
    <w:rsid w:val="00715E17"/>
    <w:rsid w:val="007162E6"/>
    <w:rsid w:val="00722F42"/>
    <w:rsid w:val="00725531"/>
    <w:rsid w:val="00746FFF"/>
    <w:rsid w:val="0076141B"/>
    <w:rsid w:val="0077107A"/>
    <w:rsid w:val="00772536"/>
    <w:rsid w:val="00774B5E"/>
    <w:rsid w:val="007861D3"/>
    <w:rsid w:val="007901CA"/>
    <w:rsid w:val="007B592C"/>
    <w:rsid w:val="007B5F2C"/>
    <w:rsid w:val="007C2269"/>
    <w:rsid w:val="007D563F"/>
    <w:rsid w:val="007D714D"/>
    <w:rsid w:val="007E4C88"/>
    <w:rsid w:val="00815EE7"/>
    <w:rsid w:val="0084066C"/>
    <w:rsid w:val="00841E1A"/>
    <w:rsid w:val="00843071"/>
    <w:rsid w:val="00851F54"/>
    <w:rsid w:val="00853242"/>
    <w:rsid w:val="00871354"/>
    <w:rsid w:val="00877B43"/>
    <w:rsid w:val="00881CC2"/>
    <w:rsid w:val="008851E6"/>
    <w:rsid w:val="00887ECE"/>
    <w:rsid w:val="00897AFF"/>
    <w:rsid w:val="008A6795"/>
    <w:rsid w:val="008B0DF4"/>
    <w:rsid w:val="008C4E8D"/>
    <w:rsid w:val="008F27D8"/>
    <w:rsid w:val="008F704E"/>
    <w:rsid w:val="008F71D8"/>
    <w:rsid w:val="0090281E"/>
    <w:rsid w:val="00912E54"/>
    <w:rsid w:val="00912F3C"/>
    <w:rsid w:val="0091723B"/>
    <w:rsid w:val="00931003"/>
    <w:rsid w:val="0094025A"/>
    <w:rsid w:val="00946703"/>
    <w:rsid w:val="00946CCA"/>
    <w:rsid w:val="00950592"/>
    <w:rsid w:val="009640B4"/>
    <w:rsid w:val="009A3874"/>
    <w:rsid w:val="009A3BBA"/>
    <w:rsid w:val="009B1851"/>
    <w:rsid w:val="009C4590"/>
    <w:rsid w:val="009D2EE5"/>
    <w:rsid w:val="009F103C"/>
    <w:rsid w:val="009F5C00"/>
    <w:rsid w:val="00A04161"/>
    <w:rsid w:val="00A06D4F"/>
    <w:rsid w:val="00A12D96"/>
    <w:rsid w:val="00A20FD2"/>
    <w:rsid w:val="00A21618"/>
    <w:rsid w:val="00A26087"/>
    <w:rsid w:val="00A34287"/>
    <w:rsid w:val="00A36C7F"/>
    <w:rsid w:val="00A40465"/>
    <w:rsid w:val="00A463C3"/>
    <w:rsid w:val="00A547A9"/>
    <w:rsid w:val="00A656F0"/>
    <w:rsid w:val="00A83000"/>
    <w:rsid w:val="00A8334E"/>
    <w:rsid w:val="00AB0887"/>
    <w:rsid w:val="00AB2610"/>
    <w:rsid w:val="00AC2DF7"/>
    <w:rsid w:val="00AD0B66"/>
    <w:rsid w:val="00AE081B"/>
    <w:rsid w:val="00AE6048"/>
    <w:rsid w:val="00AF6308"/>
    <w:rsid w:val="00B05B59"/>
    <w:rsid w:val="00B10A60"/>
    <w:rsid w:val="00B10C74"/>
    <w:rsid w:val="00B12155"/>
    <w:rsid w:val="00B14861"/>
    <w:rsid w:val="00B1566C"/>
    <w:rsid w:val="00B24391"/>
    <w:rsid w:val="00B26954"/>
    <w:rsid w:val="00B36877"/>
    <w:rsid w:val="00B37424"/>
    <w:rsid w:val="00B4005C"/>
    <w:rsid w:val="00B47EC3"/>
    <w:rsid w:val="00B506A7"/>
    <w:rsid w:val="00B50A5A"/>
    <w:rsid w:val="00B5668C"/>
    <w:rsid w:val="00B63A9C"/>
    <w:rsid w:val="00B66907"/>
    <w:rsid w:val="00B908D7"/>
    <w:rsid w:val="00B93378"/>
    <w:rsid w:val="00B974B4"/>
    <w:rsid w:val="00B97A4C"/>
    <w:rsid w:val="00BB3540"/>
    <w:rsid w:val="00BC1AF4"/>
    <w:rsid w:val="00BC3531"/>
    <w:rsid w:val="00BC6648"/>
    <w:rsid w:val="00BD0374"/>
    <w:rsid w:val="00BE3519"/>
    <w:rsid w:val="00BF1DB3"/>
    <w:rsid w:val="00BF3566"/>
    <w:rsid w:val="00BF5791"/>
    <w:rsid w:val="00C052BD"/>
    <w:rsid w:val="00C15FCD"/>
    <w:rsid w:val="00C16D3A"/>
    <w:rsid w:val="00C17E30"/>
    <w:rsid w:val="00C21661"/>
    <w:rsid w:val="00C31F2F"/>
    <w:rsid w:val="00C369FB"/>
    <w:rsid w:val="00C36B33"/>
    <w:rsid w:val="00C406D4"/>
    <w:rsid w:val="00C650CD"/>
    <w:rsid w:val="00C7451A"/>
    <w:rsid w:val="00C756DB"/>
    <w:rsid w:val="00C778D0"/>
    <w:rsid w:val="00C82298"/>
    <w:rsid w:val="00C85543"/>
    <w:rsid w:val="00C87645"/>
    <w:rsid w:val="00C91536"/>
    <w:rsid w:val="00C92283"/>
    <w:rsid w:val="00C978FF"/>
    <w:rsid w:val="00CA0434"/>
    <w:rsid w:val="00CA1297"/>
    <w:rsid w:val="00CA7546"/>
    <w:rsid w:val="00CB091E"/>
    <w:rsid w:val="00CB67EA"/>
    <w:rsid w:val="00CB7128"/>
    <w:rsid w:val="00CD1316"/>
    <w:rsid w:val="00CD46C8"/>
    <w:rsid w:val="00CE2B9D"/>
    <w:rsid w:val="00CE397D"/>
    <w:rsid w:val="00CE3F97"/>
    <w:rsid w:val="00CE40D6"/>
    <w:rsid w:val="00CE64CF"/>
    <w:rsid w:val="00CF13E7"/>
    <w:rsid w:val="00CF1C30"/>
    <w:rsid w:val="00D1282F"/>
    <w:rsid w:val="00D26EA2"/>
    <w:rsid w:val="00D30284"/>
    <w:rsid w:val="00D31B25"/>
    <w:rsid w:val="00D620AA"/>
    <w:rsid w:val="00D80934"/>
    <w:rsid w:val="00DA170A"/>
    <w:rsid w:val="00DA4CD4"/>
    <w:rsid w:val="00DB2405"/>
    <w:rsid w:val="00DB2A50"/>
    <w:rsid w:val="00DB4790"/>
    <w:rsid w:val="00DC4724"/>
    <w:rsid w:val="00DC5790"/>
    <w:rsid w:val="00DC6700"/>
    <w:rsid w:val="00DC759D"/>
    <w:rsid w:val="00DD32A2"/>
    <w:rsid w:val="00DD4310"/>
    <w:rsid w:val="00DE176C"/>
    <w:rsid w:val="00DE5ADB"/>
    <w:rsid w:val="00DF45B1"/>
    <w:rsid w:val="00E05499"/>
    <w:rsid w:val="00E13002"/>
    <w:rsid w:val="00E1594F"/>
    <w:rsid w:val="00E2414C"/>
    <w:rsid w:val="00E443D6"/>
    <w:rsid w:val="00E449B1"/>
    <w:rsid w:val="00E46505"/>
    <w:rsid w:val="00E55E15"/>
    <w:rsid w:val="00E62CB7"/>
    <w:rsid w:val="00E85172"/>
    <w:rsid w:val="00E91C04"/>
    <w:rsid w:val="00E942C4"/>
    <w:rsid w:val="00E94C84"/>
    <w:rsid w:val="00E97E31"/>
    <w:rsid w:val="00EA31BF"/>
    <w:rsid w:val="00ED1387"/>
    <w:rsid w:val="00EE4DB9"/>
    <w:rsid w:val="00EF31C5"/>
    <w:rsid w:val="00EF6898"/>
    <w:rsid w:val="00EF74CB"/>
    <w:rsid w:val="00F06F9C"/>
    <w:rsid w:val="00F16717"/>
    <w:rsid w:val="00F21DC7"/>
    <w:rsid w:val="00F32496"/>
    <w:rsid w:val="00F34711"/>
    <w:rsid w:val="00F5270D"/>
    <w:rsid w:val="00F61512"/>
    <w:rsid w:val="00F61F39"/>
    <w:rsid w:val="00F70925"/>
    <w:rsid w:val="00F71DC8"/>
    <w:rsid w:val="00F734CF"/>
    <w:rsid w:val="00F877A2"/>
    <w:rsid w:val="00F92C6E"/>
    <w:rsid w:val="00FA33AE"/>
    <w:rsid w:val="00FA659E"/>
    <w:rsid w:val="00FB28AE"/>
    <w:rsid w:val="00FB35DD"/>
    <w:rsid w:val="00FB5C16"/>
    <w:rsid w:val="00FD0418"/>
    <w:rsid w:val="00FD3B1D"/>
    <w:rsid w:val="00FE5DB4"/>
    <w:rsid w:val="00FE699A"/>
    <w:rsid w:val="00FF39B8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41F0E"/>
  <w15:docId w15:val="{321B3DD4-E1E3-4556-AB67-43C86D0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7162E6"/>
  </w:style>
  <w:style w:type="paragraph" w:styleId="Rodap">
    <w:name w:val="footer"/>
    <w:basedOn w:val="Normal"/>
    <w:link w:val="RodapChar"/>
    <w:uiPriority w:val="99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162E6"/>
  </w:style>
  <w:style w:type="paragraph" w:styleId="Textodebalo">
    <w:name w:val="Balloon Text"/>
    <w:basedOn w:val="Normal"/>
    <w:link w:val="TextodebaloChar"/>
    <w:uiPriority w:val="99"/>
    <w:semiHidden/>
    <w:unhideWhenUsed/>
    <w:rsid w:val="0071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2E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A55C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2A55CD"/>
    <w:rPr>
      <w:rFonts w:ascii="Arial" w:eastAsia="Times New Roman" w:hAnsi="Arial" w:cs="Arial"/>
      <w:b/>
      <w:sz w:val="32"/>
      <w:szCs w:val="32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400CE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7672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7672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1DC7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9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94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9594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1297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E24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abc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abc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uabc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abc.org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cio.garcia\AppData\Roaming\Microsoft\Modelos\novo_timbrado_maio_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novo_timbrado_maio_2016</Template>
  <TotalTime>125</TotalTime>
  <Pages>10</Pages>
  <Words>2690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Lucianna Hungaro Bosio</dc:creator>
  <cp:lastModifiedBy>Rodrigo Vassella</cp:lastModifiedBy>
  <cp:revision>29</cp:revision>
  <cp:lastPrinted>2023-01-23T17:35:00Z</cp:lastPrinted>
  <dcterms:created xsi:type="dcterms:W3CDTF">2020-07-27T16:19:00Z</dcterms:created>
  <dcterms:modified xsi:type="dcterms:W3CDTF">2023-01-23T17:36:00Z</dcterms:modified>
</cp:coreProperties>
</file>